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民办职业培训学校办学评估细则</w:t>
      </w:r>
    </w:p>
    <w:p>
      <w:pPr>
        <w:autoSpaceDE w:val="0"/>
        <w:autoSpaceDN w:val="0"/>
        <w:spacing w:before="298" w:beforeLines="50" w:after="298" w:afterLines="50" w:line="26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val="zh-CN"/>
        </w:rPr>
      </w:pPr>
    </w:p>
    <w:p>
      <w:pPr>
        <w:autoSpaceDE w:val="0"/>
        <w:autoSpaceDN w:val="0"/>
        <w:spacing w:before="298" w:beforeLines="50" w:after="298" w:afterLines="50" w:line="260" w:lineRule="exact"/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培训学校名称：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最终得分：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zh-CN"/>
        </w:rPr>
        <w:t xml:space="preserve">           </w:t>
      </w:r>
    </w:p>
    <w:p>
      <w:pPr>
        <w:autoSpaceDE w:val="0"/>
        <w:autoSpaceDN w:val="0"/>
        <w:spacing w:before="298" w:beforeLines="50" w:after="298" w:afterLines="50" w:line="260" w:lineRule="exact"/>
        <w:rPr>
          <w:rFonts w:hint="eastAsia"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年    月     日</w:t>
      </w:r>
    </w:p>
    <w:p>
      <w:pPr>
        <w:autoSpaceDE w:val="0"/>
        <w:autoSpaceDN w:val="0"/>
        <w:spacing w:line="360" w:lineRule="exact"/>
        <w:ind w:firstLine="960" w:firstLineChars="400"/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  <w:t>必要条件指标</w:t>
      </w:r>
    </w:p>
    <w:tbl>
      <w:tblPr>
        <w:tblStyle w:val="6"/>
        <w:tblW w:w="12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1020"/>
        <w:gridCol w:w="6081"/>
        <w:gridCol w:w="279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评估内容</w:t>
            </w:r>
          </w:p>
        </w:tc>
        <w:tc>
          <w:tcPr>
            <w:tcW w:w="608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评估标准</w:t>
            </w:r>
          </w:p>
        </w:tc>
        <w:tc>
          <w:tcPr>
            <w:tcW w:w="279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评估方式</w:t>
            </w:r>
          </w:p>
        </w:tc>
        <w:tc>
          <w:tcPr>
            <w:tcW w:w="19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（符合或不符合）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5" w:hRule="atLeast"/>
          <w:jc w:val="center"/>
        </w:trPr>
        <w:tc>
          <w:tcPr>
            <w:tcW w:w="54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依法办学</w:t>
            </w:r>
          </w:p>
        </w:tc>
        <w:tc>
          <w:tcPr>
            <w:tcW w:w="6081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办学许可证等证件齐全有效。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设有决策机构，按规定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成立党组织，并开展党的活动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变更举办者、法定代表人或校长、办学地址、学校名称、培训项目（职业、工种）和培训层次以及申请合并、分立、增设校区或设立分校的，经审批机关批准。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严格按照许可的范围开展办学活动。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无经查实的严重违法、违规、失信问题。</w:t>
            </w:r>
          </w:p>
        </w:tc>
        <w:tc>
          <w:tcPr>
            <w:tcW w:w="2792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查看各类证书证件原件、相关投诉登记处理材料及培训台账等材料。</w:t>
            </w:r>
          </w:p>
        </w:tc>
        <w:tc>
          <w:tcPr>
            <w:tcW w:w="1934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54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人员条件</w:t>
            </w:r>
          </w:p>
        </w:tc>
        <w:tc>
          <w:tcPr>
            <w:tcW w:w="6081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专职教师数不得少于教师总数的 1/4，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每个培训项目至少配备2名以上理论课教师和2名以上实习指导教师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专兼职教师具备相应的教师资格或者其他相应的专业资格、资质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配备专职教学管理人员。</w:t>
            </w:r>
          </w:p>
        </w:tc>
        <w:tc>
          <w:tcPr>
            <w:tcW w:w="2792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查阅学校聘任协议、毕业证书、职称证书、职业资格证书、职业技能等级证书或培训合格证书等材料。</w:t>
            </w:r>
          </w:p>
        </w:tc>
        <w:tc>
          <w:tcPr>
            <w:tcW w:w="1934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atLeast"/>
          <w:jc w:val="center"/>
        </w:trPr>
        <w:tc>
          <w:tcPr>
            <w:tcW w:w="54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办学条件</w:t>
            </w:r>
          </w:p>
        </w:tc>
        <w:tc>
          <w:tcPr>
            <w:tcW w:w="6081" w:type="dxa"/>
            <w:vAlign w:val="center"/>
          </w:tcPr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1.应有与培训规模相适应的设施设备。</w:t>
            </w:r>
          </w:p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实训设备达2-6人/一台套。</w:t>
            </w:r>
          </w:p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有固定办公、办学用房，办学场所总建筑面积不少于300平方米。</w:t>
            </w:r>
          </w:p>
        </w:tc>
        <w:tc>
          <w:tcPr>
            <w:tcW w:w="2792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查看会计师事务所出具的相关报告或其他证明材料，并现场查看相应固定资产实物。现场查看、查阅场地所有权证明、租赁合同等材料。</w:t>
            </w:r>
          </w:p>
        </w:tc>
        <w:tc>
          <w:tcPr>
            <w:tcW w:w="1934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</w:tbl>
    <w:p>
      <w:pPr>
        <w:widowControl/>
        <w:ind w:firstLine="960" w:firstLineChars="400"/>
        <w:jc w:val="left"/>
        <w:rPr>
          <w:rFonts w:hint="eastAsia" w:ascii="仿宋_GB2312" w:hAnsi="仿宋_GB2312" w:eastAsia="仿宋_GB2312" w:cs="仿宋_GB2312"/>
          <w:bCs/>
          <w:snapToGrid w:val="0"/>
          <w:kern w:val="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24"/>
          <w:szCs w:val="24"/>
          <w:lang w:val="zh-CN"/>
        </w:rPr>
        <w:t>、培训规范性和质量性指标</w:t>
      </w:r>
    </w:p>
    <w:tbl>
      <w:tblPr>
        <w:tblStyle w:val="6"/>
        <w:tblW w:w="12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6"/>
        <w:gridCol w:w="1334"/>
        <w:gridCol w:w="851"/>
        <w:gridCol w:w="4396"/>
        <w:gridCol w:w="380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atLeast"/>
          <w:tblHeader/>
          <w:jc w:val="center"/>
        </w:trPr>
        <w:tc>
          <w:tcPr>
            <w:tcW w:w="1076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评估项目</w:t>
            </w: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评估内容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标准分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评估标准</w:t>
            </w:r>
          </w:p>
        </w:tc>
        <w:tc>
          <w:tcPr>
            <w:tcW w:w="3805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得分标准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评估得分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机构建设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组织机构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3分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学校组织机构健全；建立相应的监督机构；发展规划、教学或学生管理等重大事项经学校理事会（董事会）、校务会或校长办公会讨论。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组织机构健全得2分，不健全不得分；有相应文件和会议记录得1分，不完善酌情扣分（每次扣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0.5分，扣完为止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管理人员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校长、专职管理人员、财务人员、监督机构人员的配备符合相关要求。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有符合规定要求的校长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、专职管理人员、财务人员、监督机构人员的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，不完善不得分。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培训规范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行政管理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3分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1.按要求接受检查评估，及时准确向审批机关报送年度总结等相关资料。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2.教学管理制度健全并报备。向社会公布的与其办学水平和教育质量有关的资料、财务状况报审批机关备案。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1.按时接受检查并报送相关材料的得1分，未按要求的不得分。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2.按规定及时将教学管理制度，向社会公布的得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1分，未公布的不得分；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与其办学水平和教育质量有关的材料、财务状况报审批机关备案的，得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未备案的不得分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招生广告、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简章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发布招生广告和简章时使用审批机关批准的规范校名，内容与报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人力资源社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会保障行政部门备案的内容一致且真实。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1.发布招生广告和简章时使用审批机构批准的规范校名的得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分，未规范使用不得分。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2.发布内容与备案内容一致的得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分；不一致的不得分。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3.发布内容与执行情况一致的得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分，不一致的不得分。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收费执行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收费项目、收费标准和退费办法公示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收费项目、收费标准及退费办法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公示的得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分；如有一项未公示不得分。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2.收费规范的得3分；基本规范的得1分；不规范的不得分。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校牌、证件悬挂情况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按要求悬挂规范的校牌、办学许可证和相关证件。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分，任何一项达不到要求的扣1分直至扣完。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5" w:hRule="atLeast"/>
          <w:jc w:val="center"/>
        </w:trPr>
        <w:tc>
          <w:tcPr>
            <w:tcW w:w="107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固定资产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和设备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数量和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完好率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1.有满足技能训练需要的设备和充足的实训工位。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2.培训设备完好率达95%以上。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1.各培训职业（工种）的实训设备不能充分满足技能培训需要的，酌情扣分，满分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2.培训设备完好率达95%以上的得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分；80%-95%间的得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分；低于80%的不得分。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6" w:hRule="atLeast"/>
          <w:jc w:val="center"/>
        </w:trPr>
        <w:tc>
          <w:tcPr>
            <w:tcW w:w="107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培训师资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师资配备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1.专业理论课教师具有符合培训项目相关要求职称或资质。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2.专业实训课教师具有符合培训项目相关职称或职业资格（技能等级）。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3.组织开展教师培训。</w:t>
            </w:r>
          </w:p>
          <w:p>
            <w:pPr>
              <w:kinsoku w:val="0"/>
              <w:autoSpaceDE w:val="0"/>
              <w:autoSpaceDN w:val="0"/>
              <w:spacing w:line="280" w:lineRule="exac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3805" w:type="dxa"/>
            <w:vAlign w:val="center"/>
          </w:tcPr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每位教师的技能要求任一指标不符合扣1分；直至扣完10分。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.未组织开展教师培训和能力提升的扣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培训场所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面积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有满足培训需要的教学场所。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有充分满足教学需要场所的得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2分，教学场所不能充分满足教学需要的的扣1分。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配套设施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消防安全器械布局合理，符合消防安全要求，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无安全隐患，有良好的照明及通风条件。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2.配备桌椅、黑板、多媒体、电脑等教学设备。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安全、照明、通风符合要求的得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分。不符合要求的不得分。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2.按规定配备桌椅、黑板、多媒体、电脑等设备的得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分，不足或有损坏的扣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使用期限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租赁期不少于3年。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租用场所租赁期3年以上的得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分，少于3年的不得分。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0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培训规模  、层次和质量（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年培训数量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办学许可证办学类型载明的职业（工种）在2个以内的，年培训人数不低于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00人次；2个以上的，每增加1个职业（工种），年培训人数应相应增加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0人次。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年培训量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00人次的得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2分，每增加100人次增加1分，最多得10分，年培训量不足100人次的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培训层次、形式和考核取证情况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组织培训结业学员参加技能人才评价，取得相应职业资格证书、职业技能等级证书、专项职业能力证书。</w:t>
            </w:r>
          </w:p>
          <w:p>
            <w:pPr>
              <w:kinsoku w:val="0"/>
              <w:autoSpaceDE w:val="0"/>
              <w:autoSpaceDN w:val="0"/>
              <w:spacing w:line="280" w:lineRule="exac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1.培训结业学员80%以上取得相应职业资格证书、职业技能等级证书、专项职业能力证书的得3分；80%-40%的得2分；40%-20%的得1分；20%以下的不得分。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2.取得三级及以上的职业技能等级证书达10%及以上的得2分；10%以下的不得分。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培训后就业率和满意度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1.参训后学员就业率情况。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2.开展参训学员满意度调查，学员参训满意度应当达到80%以上。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1.经查看就业协议、电话回访等多种方式核实就业率在90%以上的得2分；就业率在75%-90%的得1分；就业率在60%-75%的得0.5分；就业率在60%以下的不得分。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2.有80%以上的参训学员参加满意度调查的得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分，其中有80%学员评价培训为“满意”以上的得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分，满意度在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80%以下的不得分。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 xml:space="preserve">内部管理 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33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制度建设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行政管理、教学管理、安全管理、员工管理、学员管理、档案管理、资产和财务管理、收费和退费管理、设施设备管理、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消防安全、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教师培训及考核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等制度健全。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落实法定代表人为本单位消防平安第一责任人，落实消防安全检查，并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制定了突发事件应急预案。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按照规定抓好日常落实管理。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1.制度健全的得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每缺一项扣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0.5分，直至3分扣完。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2.有检查、有落实的得2分；没有的不得分。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3.制定突发事件应急预案的得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分，未制定的不得分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教学管理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对入学参加培训学员及时注册登记，并与学员签订合法规范的培训协议。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达到要求的得2分，有一项达不到要求的扣1分。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严格执行教学管理制度，定期对教学情况及效果进行检查，并有完整的检查记录。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达到要求的得2分，有一项达不到要求的扣1分直至扣完。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保证学员理论教学课时、实习操作训练课时达到教学（培训）大纲的规定要求，不随意减少课程计划。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达到要求的得2分，有一项达不到要求的扣1分直至扣完。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组织学员参加毕（结）业考试和技能等级评价。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达到要求的得1分，有一项达不到要求的不得分。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档案管理</w:t>
            </w:r>
          </w:p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教师花名册、教师登记表、聘用协议、劳动合同、身份证复印件、资格证书复印件、职业教育培训工作经历证明等材料齐全。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达到要求的得2分，有一项达不到要求的扣0.5分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教材齐全且经审读后符合规定。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分，达不到要求的不得分。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年度培训情况汇总表、办班通知、学员名册、考勤表、课程表、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每个工种的教学计划和教学大纲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、教师评估表、考试成绩表、培训班总结等材料齐全。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有一项达不到要求的扣0.5分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</w:t>
            </w:r>
          </w:p>
        </w:tc>
        <w:tc>
          <w:tcPr>
            <w:tcW w:w="4396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1.学员登记表、身份证复印件、学校自考试卷、实操能力考核表、补考记录、职业资格证书、职业技能等级证书、专项职业能力证书或培训合格证书复印件、就业去向的相关登记等材料齐全。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2.使用职业技能培训信息平台，如实准确报送培训信息，建立健全培训台账。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1.材料齐全得1分，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有一项达不到要求的扣0.5分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直至扣完。</w:t>
            </w:r>
          </w:p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使用职业技能培训信息平台，且录入信息准确、健全相关台账的得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1分，不符合要求的不得分。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党建工作</w:t>
            </w: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4396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党组织规范化标准化建设。</w:t>
            </w:r>
          </w:p>
        </w:tc>
        <w:tc>
          <w:tcPr>
            <w:tcW w:w="3805" w:type="dxa"/>
            <w:vAlign w:val="center"/>
          </w:tcPr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党组织创建为“五个好”标准化规范化党支部的得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2.“五个好”标准化规范化党支部创建为“三个好”或“四个好”的得1分。</w:t>
            </w:r>
          </w:p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3.党组织被评为软弱涣散、后进基层党组织或“五个好”标准化规范化党支部创建为“两个好”及以下的不得分。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  <w:jc w:val="center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96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将党的建设有关内容写入学校章程，按规定执行。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zh-CN"/>
              </w:rPr>
              <w:t>党的建设有关内容写入学校章程，并按规定执行的得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2分，其他情况不得分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96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党组织领导学校工会、共青团等群团组织和教职工大会(代表大会)。工会、共青团等群团组织应建尽建。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auto"/>
              <w:ind w:firstLine="0" w:firstLineChars="0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均按规定成立群团组织的得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1分；部分建立，但是有缺漏的得0.5分；未建立的不得分。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学校在经费、人员场所等方面，为党组织开展工作提供必要条件，将党组织活动经费列入年度经费预算，配备党务工作力量，保证党建工作有人管、有人抓。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满足所有条件的得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有一项达不到要求的扣0.5分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直至扣完。</w:t>
            </w:r>
          </w:p>
          <w:p>
            <w:pPr>
              <w:kinsoku w:val="0"/>
              <w:autoSpaceDE w:val="0"/>
              <w:autoSpaceDN w:val="0"/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财务管理</w:t>
            </w:r>
          </w:p>
        </w:tc>
        <w:tc>
          <w:tcPr>
            <w:tcW w:w="851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4396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严格执行财务、会计制度和财产管理制度，并按照有关规定设置会计账簿。年末制作会计报告，及时报请审计。</w:t>
            </w:r>
          </w:p>
        </w:tc>
        <w:tc>
          <w:tcPr>
            <w:tcW w:w="3805" w:type="dxa"/>
            <w:vAlign w:val="center"/>
          </w:tcPr>
          <w:p>
            <w:pPr>
              <w:kinsoku w:val="0"/>
              <w:autoSpaceDE w:val="0"/>
              <w:autoSpaceDN w:val="0"/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达到要求的得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分，有一项达不到要求的扣0.5分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直至扣完。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综合评定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（10分）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校企合作开展情况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学校通过校企合作的方式培养学生的基本情况。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特色优势专业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有两家以上定点合作企业，同企业共同组成校企合作工作机构，校企合作培养技能人才已形成制度，同企业签订了规范的合作协议，并能严格遵照执行，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得2分；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学校有一家定点合作企业，与企业签订了较为规范的合作协议，能够严格按照协议开展校企合作培养学生，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得1分；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学校有合作企业，能够开展校企合作工作，但不固定、不规范的，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得0.5分；其他情况不得分。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教学创新行为及效果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1.5分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在教育教学过程中采取创新行为及取得成效。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学校在鼓励教学创新方面有系统、明确的制度，并长期坚持实施取得显著成效的得1.5分；学校具有一定鼓励教学创新的制度，但能够起到鼓励教师进行创新的作用的得1分；其他情况不得分。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教师教研活动情况及成果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1.5分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学校进行教研活动的实际情况及取得成果。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在教研活动方面有切实可行的制度，并严格执行。教师能自觉将教研活动与教学紧密结合，并通过教研活动极大促进整体教学质量的提高的得1.5分；学校在该方面具有系统的制度，多数教师能积极参加教研活动，并能在一定程度上与教学工作结合，对教学有一定积极影响，得1分；学校在该方面的制度不够系统、完整，与教学工作结合不够紧密的得0.5分；其他情况不得分。</w:t>
            </w:r>
          </w:p>
        </w:tc>
        <w:tc>
          <w:tcPr>
            <w:tcW w:w="1084" w:type="dxa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5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综合实力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3分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职业培训业务覆盖领域广泛，综合性强；开展职业技能培训的能力居于新疆领先水平，具有自身的培训特色；在各级政府重点项目建设、各级各类职业技能竞赛中发挥重要作用。</w:t>
            </w:r>
          </w:p>
        </w:tc>
        <w:tc>
          <w:tcPr>
            <w:tcW w:w="380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由评价组织（专家组）对被评定单位实际情况进行评估，并根据各指标评定要点进行评分。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现代管理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具备先进的管理模式；采用先进的业务系统管理软件，实现对教学质量监督、师资队伍建设、学生科学管理、学生就业安置、投诉处理等日常业务的系统化精确管理。</w:t>
            </w:r>
          </w:p>
        </w:tc>
        <w:tc>
          <w:tcPr>
            <w:tcW w:w="380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由评价组织（专家组）对被评定单位实际情况进行评估，并根据各指标评定要点进行评分。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社会品牌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具有较强的品牌辐射力，形成跨区域的职业培训品牌；成为多数用人单位普遍认同的技能人才培养基地。</w:t>
            </w:r>
          </w:p>
        </w:tc>
        <w:tc>
          <w:tcPr>
            <w:tcW w:w="380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由评价组织（专家组）对被评定单位实际情况进行评估，并根据各指标评定要点进行评分。</w:t>
            </w: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100分</w:t>
            </w:r>
          </w:p>
        </w:tc>
        <w:tc>
          <w:tcPr>
            <w:tcW w:w="439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81C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2023-03-31T10:50:31Z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