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数字技术工程师培育项目第二批培训机构拟入选名单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80" w:beforeAutospacing="0" w:after="8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758"/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75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  <w:t>入围名单</w:t>
            </w:r>
          </w:p>
        </w:tc>
        <w:tc>
          <w:tcPr>
            <w:tcW w:w="37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  <w:t>入围职业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375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  <w:t>新疆工程学院</w:t>
            </w: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  <w:t>大数据工程技术人员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375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  <w:t>区块链工程技术人员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375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  <w:t>数字化管理师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375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  <w:t>物联网工程技术人员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3758" w:type="dxa"/>
            <w:vMerge w:val="continu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  <w:tc>
          <w:tcPr>
            <w:tcW w:w="3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31"/>
                <w:szCs w:val="31"/>
                <w:vertAlign w:val="baseline"/>
                <w:lang w:val="en-US" w:eastAsia="zh-CN" w:bidi="ar"/>
              </w:rPr>
              <w:t>虚拟现实工程技术人员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80" w:beforeAutospacing="0" w:after="8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256387"/>
    <w:rsid w:val="2DC80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2023-09-15T10:44:45Z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