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2023年自治区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经济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系列正高级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经济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援疆专项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职称评审通过人员名单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default" w:ascii="黑体" w:hAnsi="黑体" w:eastAsia="黑体" w:cs="黑体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一、乌鲁木齐市（1人）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乌鲁木齐市甘泉堡经济技术开发区（工业区）机要信息中心：孙长伍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二、吐鲁番市（1人）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吐鲁番市人民政府办公室：易向辉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default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spacing w:val="10"/>
          <w:sz w:val="32"/>
          <w:szCs w:val="32"/>
          <w:lang w:val="en-US" w:eastAsia="zh-CN"/>
        </w:rPr>
        <w:t>喀什地区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（</w:t>
      </w:r>
      <w:r>
        <w:rPr>
          <w:rFonts w:hint="default" w:ascii="黑体" w:hAnsi="黑体" w:eastAsia="黑体" w:cs="黑体"/>
          <w:spacing w:val="10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default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10"/>
          <w:sz w:val="32"/>
          <w:szCs w:val="32"/>
          <w:lang w:val="en-US" w:eastAsia="zh-CN"/>
        </w:rPr>
        <w:t>喀什地区自然资源局:梁丽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四、新疆银行股份有限公司（1人）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新疆银行股份有限公司：郭晓光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C90567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2023-05-09T05:12:28Z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