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《新疆维吾尔自治区专业技术人员继续教育</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方正黑体_GBK" w:cs="Times New Roman"/>
          <w:sz w:val="36"/>
          <w:szCs w:val="36"/>
          <w:lang w:eastAsia="zh-CN"/>
        </w:rPr>
      </w:pPr>
      <w:r>
        <w:rPr>
          <w:rFonts w:hint="eastAsia" w:ascii="方正小标宋_GBK" w:hAnsi="方正小标宋_GBK" w:eastAsia="方正小标宋_GBK" w:cs="方正小标宋_GBK"/>
          <w:kern w:val="2"/>
          <w:sz w:val="44"/>
          <w:szCs w:val="44"/>
          <w:lang w:val="en-US" w:eastAsia="zh-CN" w:bidi="ar-SA"/>
        </w:rPr>
        <w:t>条例》</w:t>
      </w:r>
      <w:r>
        <w:rPr>
          <w:rFonts w:hint="default" w:ascii="方正小标宋_GBK" w:hAnsi="方正小标宋_GBK" w:eastAsia="方正小标宋_GBK" w:cs="方正小标宋_GBK"/>
          <w:kern w:val="2"/>
          <w:sz w:val="44"/>
          <w:szCs w:val="44"/>
          <w:lang w:val="en-US" w:eastAsia="zh-CN" w:bidi="ar-SA"/>
        </w:rPr>
        <w:t>修正</w:t>
      </w:r>
      <w:r>
        <w:rPr>
          <w:rFonts w:hint="eastAsia" w:ascii="方正小标宋_GBK" w:hAnsi="方正小标宋_GBK" w:eastAsia="方正小标宋_GBK" w:cs="方正小标宋_GBK"/>
          <w:kern w:val="2"/>
          <w:sz w:val="44"/>
          <w:szCs w:val="44"/>
          <w:lang w:val="en-US" w:eastAsia="zh-CN" w:bidi="ar-SA"/>
        </w:rPr>
        <w:t>内容解读</w:t>
      </w:r>
    </w:p>
    <w:p>
      <w:pPr>
        <w:keepNext w:val="0"/>
        <w:keepLines w:val="0"/>
        <w:pageBreakBefore w:val="0"/>
        <w:widowControl w:val="0"/>
        <w:kinsoku/>
        <w:wordWrap/>
        <w:overflowPunct w:val="0"/>
        <w:topLinePunct w:val="0"/>
        <w:autoSpaceDE/>
        <w:autoSpaceDN/>
        <w:bidi w:val="0"/>
        <w:adjustRightInd/>
        <w:snapToGrid/>
        <w:spacing w:line="560" w:lineRule="exact"/>
        <w:ind w:firstLine="720" w:firstLineChars="200"/>
        <w:textAlignment w:val="auto"/>
        <w:rPr>
          <w:rFonts w:hint="eastAsia" w:ascii="Times New Roman" w:hAnsi="Times New Roman" w:eastAsia="方正黑体_GBK" w:cs="Times New Roman"/>
          <w:sz w:val="36"/>
          <w:szCs w:val="36"/>
          <w:lang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720" w:firstLineChars="200"/>
        <w:textAlignment w:val="auto"/>
        <w:rPr>
          <w:rFonts w:hint="eastAsia" w:ascii="Times New Roman" w:hAnsi="Times New Roman" w:eastAsia="方正黑体_GBK" w:cs="Times New Roman"/>
          <w:sz w:val="36"/>
          <w:szCs w:val="36"/>
          <w:lang w:eastAsia="zh-CN"/>
        </w:rPr>
      </w:pPr>
      <w:r>
        <w:rPr>
          <w:rFonts w:hint="eastAsia" w:ascii="Times New Roman" w:hAnsi="Times New Roman" w:eastAsia="方正黑体_GBK" w:cs="Times New Roman"/>
          <w:sz w:val="36"/>
          <w:szCs w:val="36"/>
          <w:lang w:eastAsia="zh-CN"/>
        </w:rPr>
        <w:t>为什么要对原《条例》进行修正？</w:t>
      </w:r>
    </w:p>
    <w:p>
      <w:pPr>
        <w:keepNext w:val="0"/>
        <w:keepLines w:val="0"/>
        <w:pageBreakBefore w:val="0"/>
        <w:widowControl w:val="0"/>
        <w:kinsoku/>
        <w:wordWrap/>
        <w:overflowPunct w:val="0"/>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原《条例》共27条，于2008年9月28日经新疆维吾尔自治区第十一届人民代表大会常务委员会第五次会议审议通过，并于2009年1月1日起正式施行。原《条例》施行以来，对规范专业技术人员继续教育工作，提高专业技术人员的综合素质和能力发挥了重要作用。但随着人力资源社会保障部《专业技术人员继续教育规定》的发布实施，原《条例》有关条款已不能适</w:t>
      </w:r>
      <w:bookmarkStart w:id="0" w:name="_GoBack"/>
      <w:bookmarkEnd w:id="0"/>
      <w:r>
        <w:rPr>
          <w:rFonts w:hint="default" w:ascii="Times New Roman" w:hAnsi="Times New Roman" w:eastAsia="仿宋_GB2312" w:cs="Times New Roman"/>
          <w:sz w:val="36"/>
          <w:szCs w:val="36"/>
        </w:rPr>
        <w:t>应</w:t>
      </w:r>
      <w:r>
        <w:rPr>
          <w:rFonts w:hint="eastAsia" w:ascii="Times New Roman" w:hAnsi="Times New Roman" w:eastAsia="仿宋_GB2312" w:cs="Times New Roman"/>
          <w:sz w:val="36"/>
          <w:szCs w:val="36"/>
          <w:lang w:eastAsia="zh-CN"/>
        </w:rPr>
        <w:t>现行</w:t>
      </w:r>
      <w:r>
        <w:rPr>
          <w:rFonts w:hint="default" w:ascii="Times New Roman" w:hAnsi="Times New Roman" w:eastAsia="仿宋_GB2312" w:cs="Times New Roman"/>
          <w:sz w:val="36"/>
          <w:szCs w:val="36"/>
        </w:rPr>
        <w:t>专业技术人员继续教育工作的现实要求，</w:t>
      </w:r>
      <w:r>
        <w:rPr>
          <w:rFonts w:hint="eastAsia" w:ascii="Times New Roman" w:hAnsi="Times New Roman" w:eastAsia="仿宋_GB2312" w:cs="Times New Roman"/>
          <w:sz w:val="36"/>
          <w:szCs w:val="36"/>
          <w:lang w:eastAsia="zh-CN"/>
        </w:rPr>
        <w:t>同时，</w:t>
      </w:r>
      <w:r>
        <w:rPr>
          <w:rFonts w:hint="default" w:ascii="Times New Roman" w:hAnsi="Times New Roman" w:eastAsia="仿宋_GB2312" w:cs="Times New Roman"/>
          <w:sz w:val="36"/>
          <w:szCs w:val="36"/>
        </w:rPr>
        <w:t>专业技术人员继续教育工作行政主管部门</w:t>
      </w:r>
      <w:r>
        <w:rPr>
          <w:rFonts w:hint="eastAsia" w:ascii="Times New Roman" w:hAnsi="Times New Roman" w:eastAsia="仿宋_GB2312" w:cs="Times New Roman"/>
          <w:sz w:val="36"/>
          <w:szCs w:val="36"/>
          <w:lang w:eastAsia="zh-CN"/>
        </w:rPr>
        <w:t>也已</w:t>
      </w:r>
      <w:r>
        <w:rPr>
          <w:rFonts w:hint="default" w:ascii="Times New Roman" w:hAnsi="Times New Roman" w:eastAsia="仿宋_GB2312" w:cs="Times New Roman"/>
          <w:sz w:val="36"/>
          <w:szCs w:val="36"/>
        </w:rPr>
        <w:t>发生变化，</w:t>
      </w:r>
      <w:r>
        <w:rPr>
          <w:rFonts w:hint="eastAsia" w:ascii="Times New Roman" w:hAnsi="Times New Roman" w:eastAsia="仿宋_GB2312" w:cs="Times New Roman"/>
          <w:sz w:val="36"/>
          <w:szCs w:val="36"/>
          <w:lang w:eastAsia="zh-CN"/>
        </w:rPr>
        <w:t>故</w:t>
      </w:r>
      <w:r>
        <w:rPr>
          <w:rFonts w:hint="default" w:ascii="Times New Roman" w:hAnsi="Times New Roman" w:eastAsia="仿宋_GB2312" w:cs="Times New Roman"/>
          <w:sz w:val="36"/>
          <w:szCs w:val="36"/>
        </w:rPr>
        <w:t>对原《条例》有关</w:t>
      </w:r>
      <w:r>
        <w:rPr>
          <w:rFonts w:hint="eastAsia" w:ascii="Times New Roman" w:hAnsi="Times New Roman" w:eastAsia="仿宋_GB2312" w:cs="Times New Roman"/>
          <w:sz w:val="36"/>
          <w:szCs w:val="36"/>
          <w:lang w:eastAsia="zh-CN"/>
        </w:rPr>
        <w:t>条款</w:t>
      </w:r>
      <w:r>
        <w:rPr>
          <w:rFonts w:hint="default" w:ascii="Times New Roman" w:hAnsi="Times New Roman" w:eastAsia="仿宋_GB2312" w:cs="Times New Roman"/>
          <w:sz w:val="36"/>
          <w:szCs w:val="36"/>
        </w:rPr>
        <w:t>进行修</w:t>
      </w:r>
      <w:r>
        <w:rPr>
          <w:rFonts w:hint="eastAsia" w:ascii="Times New Roman" w:hAnsi="Times New Roman" w:eastAsia="仿宋_GB2312" w:cs="Times New Roman"/>
          <w:sz w:val="36"/>
          <w:szCs w:val="36"/>
          <w:lang w:eastAsia="zh-CN"/>
        </w:rPr>
        <w:t>改</w:t>
      </w:r>
      <w:r>
        <w:rPr>
          <w:rFonts w:hint="default" w:ascii="Times New Roman" w:hAnsi="Times New Roman" w:eastAsia="仿宋_GB2312" w:cs="Times New Roman"/>
          <w:sz w:val="36"/>
          <w:szCs w:val="36"/>
        </w:rPr>
        <w:t>。</w:t>
      </w:r>
    </w:p>
    <w:p>
      <w:pPr>
        <w:keepNext w:val="0"/>
        <w:keepLines w:val="0"/>
        <w:pageBreakBefore w:val="0"/>
        <w:widowControl w:val="0"/>
        <w:kinsoku/>
        <w:wordWrap/>
        <w:overflowPunct w:val="0"/>
        <w:topLinePunct w:val="0"/>
        <w:autoSpaceDE/>
        <w:autoSpaceDN/>
        <w:bidi w:val="0"/>
        <w:adjustRightInd/>
        <w:snapToGrid/>
        <w:spacing w:line="560" w:lineRule="exact"/>
        <w:ind w:firstLine="720" w:firstLineChars="200"/>
        <w:textAlignment w:val="auto"/>
        <w:rPr>
          <w:rFonts w:hint="eastAsia" w:ascii="Times New Roman" w:hAnsi="Times New Roman" w:eastAsia="方正黑体_GBK" w:cs="Times New Roman"/>
          <w:sz w:val="36"/>
          <w:szCs w:val="36"/>
          <w:lang w:eastAsia="zh-CN"/>
        </w:rPr>
      </w:pPr>
      <w:r>
        <w:rPr>
          <w:rFonts w:hint="eastAsia" w:ascii="Times New Roman" w:hAnsi="Times New Roman" w:eastAsia="方正黑体_GBK" w:cs="Times New Roman"/>
          <w:sz w:val="36"/>
          <w:szCs w:val="36"/>
          <w:lang w:eastAsia="zh-CN"/>
        </w:rPr>
        <w:t>新《条例》主要</w:t>
      </w:r>
      <w:r>
        <w:rPr>
          <w:rFonts w:hint="default" w:ascii="Times New Roman" w:hAnsi="Times New Roman" w:eastAsia="方正黑体_GBK" w:cs="Times New Roman"/>
          <w:sz w:val="36"/>
          <w:szCs w:val="36"/>
        </w:rPr>
        <w:t>修</w:t>
      </w:r>
      <w:r>
        <w:rPr>
          <w:rFonts w:hint="eastAsia" w:ascii="Times New Roman" w:hAnsi="Times New Roman" w:eastAsia="方正黑体_GBK" w:cs="Times New Roman"/>
          <w:sz w:val="36"/>
          <w:szCs w:val="36"/>
          <w:lang w:eastAsia="zh-CN"/>
        </w:rPr>
        <w:t>正了哪些</w:t>
      </w:r>
      <w:r>
        <w:rPr>
          <w:rFonts w:hint="default" w:ascii="Times New Roman" w:hAnsi="Times New Roman" w:eastAsia="方正黑体_GBK" w:cs="Times New Roman"/>
          <w:sz w:val="36"/>
          <w:szCs w:val="36"/>
        </w:rPr>
        <w:t>内容</w:t>
      </w:r>
      <w:r>
        <w:rPr>
          <w:rFonts w:hint="eastAsia" w:ascii="Times New Roman" w:hAnsi="Times New Roman" w:eastAsia="方正黑体_GBK" w:cs="Times New Roman"/>
          <w:sz w:val="36"/>
          <w:szCs w:val="36"/>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sz w:val="36"/>
          <w:szCs w:val="36"/>
        </w:rPr>
      </w:pPr>
      <w:r>
        <w:rPr>
          <w:rFonts w:hint="eastAsia" w:ascii="Times New Roman" w:hAnsi="Times New Roman" w:eastAsia="仿宋_GB2312" w:cs="Times New Roman"/>
          <w:sz w:val="36"/>
          <w:szCs w:val="36"/>
          <w:lang w:eastAsia="zh-CN"/>
        </w:rPr>
        <w:t>新</w:t>
      </w:r>
      <w:r>
        <w:rPr>
          <w:rFonts w:hint="default" w:ascii="Times New Roman" w:hAnsi="Times New Roman" w:eastAsia="仿宋_GB2312" w:cs="Times New Roman"/>
          <w:sz w:val="36"/>
          <w:szCs w:val="36"/>
        </w:rPr>
        <w:t>《条例》共25条</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主要对原《条例》</w:t>
      </w:r>
      <w:r>
        <w:rPr>
          <w:rFonts w:hint="eastAsia" w:ascii="Times New Roman" w:hAnsi="Times New Roman" w:eastAsia="仿宋_GB2312" w:cs="Times New Roman"/>
          <w:sz w:val="36"/>
          <w:szCs w:val="36"/>
          <w:lang w:eastAsia="zh-CN"/>
        </w:rPr>
        <w:t>进行了以下</w:t>
      </w:r>
      <w:r>
        <w:rPr>
          <w:rFonts w:hint="eastAsia" w:ascii="Times New Roman" w:hAnsi="Times New Roman" w:eastAsia="仿宋_GB2312" w:cs="Times New Roman"/>
          <w:sz w:val="36"/>
          <w:szCs w:val="36"/>
          <w:lang w:val="en-US" w:eastAsia="zh-CN"/>
        </w:rPr>
        <w:t>修改</w:t>
      </w:r>
      <w:r>
        <w:rPr>
          <w:rFonts w:hint="default" w:ascii="Times New Roman" w:hAnsi="Times New Roman" w:eastAsia="仿宋_GB2312" w:cs="Times New Roman"/>
          <w:sz w:val="36"/>
          <w:szCs w:val="36"/>
        </w:rPr>
        <w:t>。</w:t>
      </w:r>
    </w:p>
    <w:p>
      <w:pPr>
        <w:keepNext w:val="0"/>
        <w:keepLines w:val="0"/>
        <w:pageBreakBefore w:val="0"/>
        <w:widowControl w:val="0"/>
        <w:kinsoku/>
        <w:wordWrap/>
        <w:topLinePunct w:val="0"/>
        <w:autoSpaceDE/>
        <w:autoSpaceDN/>
        <w:bidi w:val="0"/>
        <w:adjustRightInd/>
        <w:snapToGrid/>
        <w:spacing w:line="560" w:lineRule="exact"/>
        <w:ind w:firstLine="723" w:firstLineChars="200"/>
        <w:textAlignment w:val="auto"/>
        <w:rPr>
          <w:rFonts w:hint="default" w:ascii="Times New Roman" w:hAnsi="Times New Roman" w:eastAsia="仿宋_GB2312" w:cs="Times New Roman"/>
          <w:sz w:val="36"/>
          <w:szCs w:val="36"/>
        </w:rPr>
      </w:pPr>
      <w:r>
        <w:rPr>
          <w:rFonts w:hint="eastAsia" w:ascii="Times New Roman" w:hAnsi="Times New Roman" w:eastAsia="仿宋_GB2312" w:cs="Times New Roman"/>
          <w:b/>
          <w:bCs/>
          <w:sz w:val="36"/>
          <w:szCs w:val="36"/>
          <w:lang w:eastAsia="zh-CN"/>
        </w:rPr>
        <w:t>一</w:t>
      </w:r>
      <w:r>
        <w:rPr>
          <w:rFonts w:hint="default" w:ascii="Times New Roman" w:hAnsi="Times New Roman" w:eastAsia="仿宋_GB2312" w:cs="Times New Roman"/>
          <w:b/>
          <w:bCs/>
          <w:sz w:val="36"/>
          <w:szCs w:val="36"/>
        </w:rPr>
        <w:t>是</w:t>
      </w:r>
      <w:r>
        <w:rPr>
          <w:rFonts w:hint="default" w:ascii="Times New Roman" w:hAnsi="Times New Roman" w:eastAsia="仿宋_GB2312" w:cs="Times New Roman"/>
          <w:sz w:val="36"/>
          <w:szCs w:val="36"/>
        </w:rPr>
        <w:t>明确管理职责。</w:t>
      </w:r>
      <w:r>
        <w:rPr>
          <w:rFonts w:hint="eastAsia" w:ascii="Times New Roman" w:hAnsi="Times New Roman" w:eastAsia="仿宋_GB2312" w:cs="Times New Roman"/>
          <w:sz w:val="36"/>
          <w:szCs w:val="36"/>
          <w:lang w:eastAsia="zh-CN"/>
        </w:rPr>
        <w:t>对</w:t>
      </w:r>
      <w:r>
        <w:rPr>
          <w:rFonts w:hint="default" w:ascii="Times New Roman" w:hAnsi="Times New Roman" w:eastAsia="仿宋_GB2312" w:cs="Times New Roman"/>
          <w:sz w:val="36"/>
          <w:szCs w:val="36"/>
        </w:rPr>
        <w:t>继续教育工作行政主管部门表述予以修</w:t>
      </w:r>
      <w:r>
        <w:rPr>
          <w:rFonts w:hint="eastAsia" w:ascii="Times New Roman" w:hAnsi="Times New Roman" w:eastAsia="仿宋_GB2312" w:cs="Times New Roman"/>
          <w:sz w:val="36"/>
          <w:szCs w:val="36"/>
          <w:lang w:eastAsia="zh-CN"/>
        </w:rPr>
        <w:t>改，</w:t>
      </w:r>
      <w:r>
        <w:rPr>
          <w:rFonts w:hint="default" w:ascii="Times New Roman" w:hAnsi="Times New Roman" w:eastAsia="仿宋_GB2312" w:cs="Times New Roman"/>
          <w:sz w:val="36"/>
          <w:szCs w:val="36"/>
        </w:rPr>
        <w:t>各级继续教育工作行政主管部门由原人民政府人事行政部门调整为人力资</w:t>
      </w:r>
      <w:r>
        <w:rPr>
          <w:rFonts w:hint="default" w:ascii="Times New Roman" w:hAnsi="Times New Roman" w:eastAsia="仿宋_GB2312" w:cs="Times New Roman"/>
          <w:sz w:val="36"/>
          <w:szCs w:val="36"/>
          <w:lang w:eastAsia="zh-CN"/>
        </w:rPr>
        <w:t>源社会保障行政部门</w:t>
      </w:r>
      <w:r>
        <w:rPr>
          <w:rFonts w:hint="eastAsia" w:ascii="Times New Roman" w:hAnsi="Times New Roman" w:eastAsia="仿宋_GB2312" w:cs="Times New Roman"/>
          <w:sz w:val="36"/>
          <w:szCs w:val="36"/>
          <w:lang w:eastAsia="zh-CN"/>
        </w:rPr>
        <w:t>。同时，</w:t>
      </w:r>
      <w:r>
        <w:rPr>
          <w:rFonts w:hint="default" w:ascii="Times New Roman" w:hAnsi="Times New Roman" w:eastAsia="仿宋_GB2312" w:cs="Times New Roman"/>
          <w:sz w:val="36"/>
          <w:szCs w:val="36"/>
          <w:lang w:eastAsia="zh-CN"/>
        </w:rPr>
        <w:t>分别明确了自治区人力资源社会保障行政部门、县级以上人力资源社会保障行政部门，以及行业主管部门的工作职责</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解决</w:t>
      </w:r>
      <w:r>
        <w:rPr>
          <w:rFonts w:hint="eastAsia" w:ascii="Times New Roman" w:hAnsi="Times New Roman" w:eastAsia="仿宋_GB2312" w:cs="Times New Roman"/>
          <w:sz w:val="36"/>
          <w:szCs w:val="36"/>
          <w:lang w:eastAsia="zh-CN"/>
        </w:rPr>
        <w:t>了</w:t>
      </w:r>
      <w:r>
        <w:rPr>
          <w:rFonts w:hint="default" w:ascii="Times New Roman" w:hAnsi="Times New Roman" w:eastAsia="仿宋_GB2312" w:cs="Times New Roman"/>
          <w:sz w:val="36"/>
          <w:szCs w:val="36"/>
        </w:rPr>
        <w:t>以往职责交叉、衔接不畅</w:t>
      </w:r>
      <w:r>
        <w:rPr>
          <w:rFonts w:hint="eastAsia" w:ascii="Times New Roman" w:hAnsi="Times New Roman" w:eastAsia="仿宋_GB2312" w:cs="Times New Roman"/>
          <w:sz w:val="36"/>
          <w:szCs w:val="36"/>
          <w:lang w:eastAsia="zh-CN"/>
        </w:rPr>
        <w:t>等</w:t>
      </w:r>
      <w:r>
        <w:rPr>
          <w:rFonts w:hint="default" w:ascii="Times New Roman" w:hAnsi="Times New Roman" w:eastAsia="仿宋_GB2312" w:cs="Times New Roman"/>
          <w:sz w:val="36"/>
          <w:szCs w:val="36"/>
        </w:rPr>
        <w:t>问题。</w:t>
      </w:r>
    </w:p>
    <w:p>
      <w:pPr>
        <w:keepNext w:val="0"/>
        <w:keepLines w:val="0"/>
        <w:pageBreakBefore w:val="0"/>
        <w:widowControl w:val="0"/>
        <w:kinsoku/>
        <w:wordWrap/>
        <w:topLinePunct w:val="0"/>
        <w:autoSpaceDE/>
        <w:autoSpaceDN/>
        <w:bidi w:val="0"/>
        <w:adjustRightInd/>
        <w:snapToGrid/>
        <w:spacing w:line="560" w:lineRule="exact"/>
        <w:ind w:firstLine="723" w:firstLineChars="200"/>
        <w:textAlignment w:val="auto"/>
        <w:rPr>
          <w:rFonts w:hint="eastAsia" w:ascii="Times New Roman" w:hAnsi="Times New Roman" w:eastAsia="仿宋_GB2312" w:cs="Times New Roman"/>
          <w:sz w:val="36"/>
          <w:szCs w:val="36"/>
          <w:lang w:eastAsia="zh-CN"/>
        </w:rPr>
      </w:pPr>
      <w:r>
        <w:rPr>
          <w:rFonts w:hint="eastAsia" w:ascii="Times New Roman" w:hAnsi="Times New Roman" w:eastAsia="仿宋_GB2312" w:cs="Times New Roman"/>
          <w:b/>
          <w:bCs/>
          <w:sz w:val="36"/>
          <w:szCs w:val="36"/>
          <w:lang w:eastAsia="zh-CN"/>
        </w:rPr>
        <w:t>二</w:t>
      </w:r>
      <w:r>
        <w:rPr>
          <w:rFonts w:hint="default" w:ascii="Times New Roman" w:hAnsi="Times New Roman" w:eastAsia="仿宋_GB2312" w:cs="Times New Roman"/>
          <w:b/>
          <w:bCs/>
          <w:sz w:val="36"/>
          <w:szCs w:val="36"/>
        </w:rPr>
        <w:t>是</w:t>
      </w:r>
      <w:r>
        <w:rPr>
          <w:rFonts w:hint="eastAsia" w:ascii="Times New Roman" w:hAnsi="Times New Roman" w:eastAsia="仿宋_GB2312" w:cs="Times New Roman"/>
          <w:sz w:val="36"/>
          <w:szCs w:val="36"/>
          <w:lang w:eastAsia="zh-CN"/>
        </w:rPr>
        <w:t>修改</w:t>
      </w:r>
      <w:r>
        <w:rPr>
          <w:rFonts w:hint="default" w:ascii="Times New Roman" w:hAnsi="Times New Roman" w:eastAsia="仿宋_GB2312" w:cs="Times New Roman"/>
          <w:sz w:val="36"/>
          <w:szCs w:val="36"/>
        </w:rPr>
        <w:t>与上位法规不一致的条款。</w:t>
      </w:r>
      <w:r>
        <w:rPr>
          <w:rFonts w:hint="eastAsia" w:ascii="Times New Roman" w:hAnsi="Times New Roman" w:eastAsia="仿宋_GB2312" w:cs="Times New Roman"/>
          <w:sz w:val="36"/>
          <w:szCs w:val="36"/>
          <w:lang w:eastAsia="zh-CN"/>
        </w:rPr>
        <w:t>按照</w:t>
      </w:r>
      <w:r>
        <w:rPr>
          <w:rFonts w:hint="default" w:ascii="Times New Roman" w:hAnsi="Times New Roman" w:eastAsia="仿宋_GB2312" w:cs="Times New Roman"/>
          <w:sz w:val="36"/>
          <w:szCs w:val="36"/>
        </w:rPr>
        <w:t>《专业技术人员继续教育规定》</w:t>
      </w:r>
      <w:r>
        <w:rPr>
          <w:rFonts w:hint="eastAsia" w:ascii="Times New Roman" w:hAnsi="Times New Roman" w:eastAsia="仿宋_GB2312" w:cs="Times New Roman"/>
          <w:sz w:val="36"/>
          <w:szCs w:val="36"/>
          <w:lang w:eastAsia="zh-CN"/>
        </w:rPr>
        <w:t>有关表述，进一步规范继续教育的组织实施方式和继续教育学习要求，</w:t>
      </w:r>
      <w:r>
        <w:rPr>
          <w:rFonts w:hint="default" w:ascii="Times New Roman" w:hAnsi="Times New Roman" w:eastAsia="仿宋_GB2312" w:cs="Times New Roman"/>
          <w:sz w:val="36"/>
          <w:szCs w:val="36"/>
          <w:lang w:eastAsia="zh-CN"/>
        </w:rPr>
        <w:t>清晰界定</w:t>
      </w:r>
      <w:r>
        <w:rPr>
          <w:rFonts w:hint="eastAsia" w:ascii="Times New Roman" w:hAnsi="Times New Roman" w:eastAsia="仿宋_GB2312" w:cs="Times New Roman"/>
          <w:sz w:val="36"/>
          <w:szCs w:val="36"/>
          <w:lang w:eastAsia="zh-CN"/>
        </w:rPr>
        <w:t>了</w:t>
      </w:r>
      <w:r>
        <w:rPr>
          <w:rFonts w:hint="default" w:ascii="Times New Roman" w:hAnsi="Times New Roman" w:eastAsia="仿宋_GB2312" w:cs="Times New Roman"/>
          <w:sz w:val="36"/>
          <w:szCs w:val="36"/>
          <w:lang w:eastAsia="zh-CN"/>
        </w:rPr>
        <w:t>公需科目与专业科目</w:t>
      </w:r>
      <w:r>
        <w:rPr>
          <w:rFonts w:hint="eastAsia" w:ascii="Times New Roman" w:hAnsi="Times New Roman" w:eastAsia="仿宋_GB2312" w:cs="Times New Roman"/>
          <w:sz w:val="36"/>
          <w:szCs w:val="36"/>
          <w:lang w:eastAsia="zh-CN"/>
        </w:rPr>
        <w:t>学习</w:t>
      </w:r>
      <w:r>
        <w:rPr>
          <w:rFonts w:hint="default" w:ascii="Times New Roman" w:hAnsi="Times New Roman" w:eastAsia="仿宋_GB2312" w:cs="Times New Roman"/>
          <w:sz w:val="36"/>
          <w:szCs w:val="36"/>
          <w:lang w:eastAsia="zh-CN"/>
        </w:rPr>
        <w:t>范围</w:t>
      </w:r>
      <w:r>
        <w:rPr>
          <w:rFonts w:hint="eastAsia" w:ascii="Times New Roman" w:hAnsi="Times New Roman" w:eastAsia="仿宋_GB2312" w:cs="Times New Roman"/>
          <w:sz w:val="36"/>
          <w:szCs w:val="36"/>
          <w:lang w:eastAsia="zh-CN"/>
        </w:rPr>
        <w:t>，并</w:t>
      </w:r>
      <w:r>
        <w:rPr>
          <w:rFonts w:hint="default" w:ascii="Times New Roman" w:hAnsi="Times New Roman" w:eastAsia="仿宋_GB2312" w:cs="Times New Roman"/>
          <w:sz w:val="36"/>
          <w:szCs w:val="36"/>
          <w:lang w:eastAsia="zh-CN"/>
        </w:rPr>
        <w:t>将原</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eastAsia="zh-CN"/>
        </w:rPr>
        <w:t>条例</w:t>
      </w:r>
      <w:r>
        <w:rPr>
          <w:rFonts w:hint="eastAsia" w:ascii="Times New Roman" w:hAnsi="Times New Roman" w:eastAsia="仿宋_GB2312" w:cs="Times New Roman"/>
          <w:sz w:val="36"/>
          <w:szCs w:val="36"/>
          <w:lang w:eastAsia="zh-CN"/>
        </w:rPr>
        <w:t>》第</w:t>
      </w:r>
      <w:r>
        <w:rPr>
          <w:rFonts w:hint="default" w:ascii="Times New Roman" w:hAnsi="Times New Roman" w:eastAsia="仿宋_GB2312" w:cs="Times New Roman"/>
          <w:sz w:val="36"/>
          <w:szCs w:val="36"/>
          <w:lang w:eastAsia="zh-CN"/>
        </w:rPr>
        <w:t>中</w:t>
      </w:r>
      <w:r>
        <w:rPr>
          <w:rFonts w:hint="eastAsia" w:ascii="Times New Roman" w:hAnsi="Times New Roman" w:eastAsia="仿宋_GB2312" w:cs="Times New Roman"/>
          <w:sz w:val="36"/>
          <w:szCs w:val="36"/>
          <w:lang w:eastAsia="zh-CN"/>
        </w:rPr>
        <w:t>的</w:t>
      </w:r>
      <w:r>
        <w:rPr>
          <w:rFonts w:hint="default"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学分”“证书”</w:t>
      </w:r>
      <w:r>
        <w:rPr>
          <w:rFonts w:hint="eastAsia" w:ascii="Times New Roman" w:hAnsi="Times New Roman" w:eastAsia="仿宋_GB2312" w:cs="Times New Roman"/>
          <w:sz w:val="36"/>
          <w:szCs w:val="36"/>
          <w:lang w:eastAsia="zh-CN"/>
        </w:rPr>
        <w:t>等</w:t>
      </w:r>
      <w:r>
        <w:rPr>
          <w:rFonts w:hint="default" w:ascii="Times New Roman" w:hAnsi="Times New Roman" w:eastAsia="仿宋_GB2312" w:cs="Times New Roman"/>
          <w:sz w:val="36"/>
          <w:szCs w:val="36"/>
        </w:rPr>
        <w:t>表述</w:t>
      </w:r>
      <w:r>
        <w:rPr>
          <w:rFonts w:hint="eastAsia" w:ascii="Times New Roman" w:hAnsi="Times New Roman" w:eastAsia="仿宋_GB2312" w:cs="Times New Roman"/>
          <w:sz w:val="36"/>
          <w:szCs w:val="36"/>
          <w:lang w:eastAsia="zh-CN"/>
        </w:rPr>
        <w:t>统一规范</w:t>
      </w:r>
      <w:r>
        <w:rPr>
          <w:rFonts w:hint="default" w:ascii="Times New Roman" w:hAnsi="Times New Roman" w:eastAsia="仿宋_GB2312" w:cs="Times New Roman"/>
          <w:sz w:val="36"/>
          <w:szCs w:val="36"/>
        </w:rPr>
        <w:t>为“学时”</w:t>
      </w:r>
      <w:r>
        <w:rPr>
          <w:rFonts w:hint="eastAsia" w:ascii="Times New Roman" w:hAnsi="Times New Roman" w:eastAsia="仿宋_GB2312" w:cs="Times New Roman"/>
          <w:sz w:val="36"/>
          <w:szCs w:val="36"/>
          <w:lang w:eastAsia="zh-CN"/>
        </w:rPr>
        <w:t>。</w:t>
      </w:r>
    </w:p>
    <w:p>
      <w:pPr>
        <w:keepNext w:val="0"/>
        <w:keepLines w:val="0"/>
        <w:pageBreakBefore w:val="0"/>
        <w:widowControl w:val="0"/>
        <w:kinsoku/>
        <w:wordWrap/>
        <w:topLinePunct w:val="0"/>
        <w:autoSpaceDE/>
        <w:autoSpaceDN/>
        <w:bidi w:val="0"/>
        <w:adjustRightInd/>
        <w:snapToGrid/>
        <w:spacing w:line="560" w:lineRule="exact"/>
        <w:ind w:firstLine="723" w:firstLineChars="200"/>
        <w:textAlignment w:val="auto"/>
        <w:rPr>
          <w:rFonts w:hint="default" w:ascii="Times New Roman" w:hAnsi="Times New Roman" w:eastAsia="仿宋_GB2312" w:cs="Times New Roman"/>
          <w:sz w:val="36"/>
          <w:szCs w:val="36"/>
        </w:rPr>
      </w:pPr>
      <w:r>
        <w:rPr>
          <w:rFonts w:hint="eastAsia" w:ascii="Times New Roman" w:hAnsi="Times New Roman" w:eastAsia="仿宋_GB2312" w:cs="Times New Roman"/>
          <w:b/>
          <w:bCs/>
          <w:sz w:val="36"/>
          <w:szCs w:val="36"/>
          <w:lang w:eastAsia="zh-CN"/>
        </w:rPr>
        <w:t>三</w:t>
      </w:r>
      <w:r>
        <w:rPr>
          <w:rFonts w:hint="default" w:ascii="Times New Roman" w:hAnsi="Times New Roman" w:eastAsia="仿宋_GB2312" w:cs="Times New Roman"/>
          <w:b/>
          <w:bCs/>
          <w:sz w:val="36"/>
          <w:szCs w:val="36"/>
        </w:rPr>
        <w:t>是</w:t>
      </w:r>
      <w:r>
        <w:rPr>
          <w:rFonts w:hint="default" w:ascii="Times New Roman" w:hAnsi="Times New Roman" w:eastAsia="仿宋_GB2312" w:cs="Times New Roman"/>
          <w:sz w:val="36"/>
          <w:szCs w:val="36"/>
        </w:rPr>
        <w:t>结合当前工作实际</w:t>
      </w:r>
      <w:r>
        <w:rPr>
          <w:rFonts w:hint="default" w:ascii="Times New Roman" w:hAnsi="Times New Roman" w:eastAsia="仿宋_GB2312" w:cs="Times New Roman"/>
          <w:sz w:val="36"/>
          <w:szCs w:val="36"/>
          <w:lang w:eastAsia="zh-CN"/>
        </w:rPr>
        <w:t>，优化条款。取消纸质证书统一制作要求，全面推行电子证书</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eastAsia="zh-CN"/>
        </w:rPr>
        <w:t>同时</w:t>
      </w:r>
      <w:r>
        <w:rPr>
          <w:rFonts w:hint="eastAsia" w:ascii="Times New Roman" w:hAnsi="Times New Roman" w:eastAsia="仿宋_GB2312" w:cs="Times New Roman"/>
          <w:sz w:val="36"/>
          <w:szCs w:val="36"/>
          <w:lang w:eastAsia="zh-CN"/>
        </w:rPr>
        <w:t>，增加了培训机构可按规定申请设立继续教育基地的表述，明确继续教育基地由县级以上</w:t>
      </w:r>
      <w:r>
        <w:rPr>
          <w:rFonts w:hint="default" w:ascii="Times New Roman" w:hAnsi="Times New Roman" w:eastAsia="仿宋_GB2312" w:cs="Times New Roman"/>
          <w:sz w:val="36"/>
          <w:szCs w:val="36"/>
          <w:lang w:eastAsia="zh-CN"/>
        </w:rPr>
        <w:t>人力资源社会保障行政部门</w:t>
      </w:r>
      <w:r>
        <w:rPr>
          <w:rFonts w:hint="eastAsia" w:ascii="Times New Roman" w:hAnsi="Times New Roman" w:eastAsia="仿宋_GB2312" w:cs="Times New Roman"/>
          <w:sz w:val="36"/>
          <w:szCs w:val="36"/>
          <w:lang w:eastAsia="zh-CN"/>
        </w:rPr>
        <w:t>批准设立。</w:t>
      </w:r>
    </w:p>
    <w:p>
      <w:pPr>
        <w:keepNext w:val="0"/>
        <w:keepLines w:val="0"/>
        <w:pageBreakBefore w:val="0"/>
        <w:widowControl w:val="0"/>
        <w:kinsoku/>
        <w:wordWrap/>
        <w:overflowPunct w:val="0"/>
        <w:topLinePunct w:val="0"/>
        <w:autoSpaceDE/>
        <w:autoSpaceDN/>
        <w:bidi w:val="0"/>
        <w:adjustRightInd/>
        <w:snapToGrid/>
        <w:spacing w:line="560" w:lineRule="exact"/>
        <w:ind w:firstLine="723" w:firstLineChars="200"/>
        <w:textAlignment w:val="auto"/>
        <w:rPr>
          <w:rFonts w:hint="default" w:ascii="Times New Roman" w:hAnsi="Times New Roman" w:eastAsia="仿宋_GB2312" w:cs="Times New Roman"/>
          <w:sz w:val="36"/>
          <w:szCs w:val="36"/>
        </w:rPr>
      </w:pPr>
      <w:r>
        <w:rPr>
          <w:rFonts w:hint="eastAsia" w:ascii="Times New Roman" w:hAnsi="Times New Roman" w:eastAsia="仿宋_GB2312" w:cs="Times New Roman"/>
          <w:b/>
          <w:bCs/>
          <w:sz w:val="36"/>
          <w:szCs w:val="36"/>
          <w:lang w:eastAsia="zh-CN"/>
        </w:rPr>
        <w:t>四</w:t>
      </w:r>
      <w:r>
        <w:rPr>
          <w:rFonts w:hint="default" w:ascii="Times New Roman" w:hAnsi="Times New Roman" w:eastAsia="仿宋_GB2312" w:cs="Times New Roman"/>
          <w:b/>
          <w:bCs/>
          <w:sz w:val="36"/>
          <w:szCs w:val="36"/>
        </w:rPr>
        <w:t>是</w:t>
      </w:r>
      <w:r>
        <w:rPr>
          <w:rFonts w:hint="default" w:ascii="Times New Roman" w:hAnsi="Times New Roman" w:eastAsia="仿宋_GB2312" w:cs="Times New Roman"/>
          <w:sz w:val="36"/>
          <w:szCs w:val="36"/>
        </w:rPr>
        <w:t>删除与现行政策不符的条款。原《条例》</w:t>
      </w:r>
      <w:r>
        <w:rPr>
          <w:rFonts w:hint="eastAsia" w:ascii="Times New Roman" w:hAnsi="Times New Roman" w:eastAsia="仿宋_GB2312" w:cs="Times New Roman"/>
          <w:sz w:val="36"/>
          <w:szCs w:val="36"/>
          <w:lang w:eastAsia="zh-CN"/>
        </w:rPr>
        <w:t>中</w:t>
      </w:r>
      <w:r>
        <w:rPr>
          <w:rFonts w:hint="default" w:ascii="Times New Roman" w:hAnsi="Times New Roman" w:eastAsia="仿宋_GB2312" w:cs="Times New Roman"/>
          <w:sz w:val="36"/>
          <w:szCs w:val="36"/>
        </w:rPr>
        <w:t>“县级以上人民政府对在继续教育工作中做出显著成绩的单位和个人，给予表彰奖励</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”内容</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与现行国务院清理规范表彰奖励项目相关政策不符，予以删除。</w:t>
      </w: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textAlignment w:val="auto"/>
        <w:rPr>
          <w:rFonts w:hint="eastAsia" w:eastAsia="仿宋_GB2312"/>
          <w:lang w:eastAsia="zh-CN"/>
        </w:rPr>
      </w:pPr>
      <w:r>
        <w:rPr>
          <w:rFonts w:hint="eastAsia" w:ascii="Times New Roman" w:hAnsi="Times New Roman" w:eastAsia="仿宋_GB2312" w:cs="Times New Roman"/>
          <w:b/>
          <w:bCs/>
          <w:sz w:val="36"/>
          <w:szCs w:val="36"/>
          <w:lang w:eastAsia="zh-CN"/>
        </w:rPr>
        <w:t>五是</w:t>
      </w:r>
      <w:r>
        <w:rPr>
          <w:rFonts w:hint="eastAsia" w:ascii="Times New Roman" w:hAnsi="Times New Roman" w:eastAsia="仿宋_GB2312" w:cs="Times New Roman"/>
          <w:sz w:val="36"/>
          <w:szCs w:val="36"/>
          <w:lang w:eastAsia="zh-CN"/>
        </w:rPr>
        <w:t>对原《条例》中容易产生歧义的表述进行了调整，确保此部地方性法规修正后更加契合新时代新疆人才发展现实需求，并能够准确实施</w:t>
      </w:r>
      <w:r>
        <w:rPr>
          <w:rFonts w:hint="default" w:ascii="Times New Roman" w:hAnsi="Times New Roman" w:eastAsia="仿宋_GB2312" w:cs="Times New Roman"/>
          <w:color w:val="auto"/>
          <w:sz w:val="32"/>
          <w:szCs w:val="32"/>
          <w:lang w:eastAsia="zh-CN"/>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5A35C73"/>
    <w:rsid w:val="170468E4"/>
    <w:rsid w:val="4CD039C6"/>
    <w:rsid w:val="7755638F"/>
    <w:rsid w:val="78514480"/>
    <w:rsid w:val="79E3475A"/>
    <w:rsid w:val="F5BF5B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next w:val="4"/>
    <w:qFormat/>
    <w:uiPriority w:val="0"/>
    <w:pPr>
      <w:ind w:firstLine="420" w:firstLineChars="100"/>
    </w:p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357</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2025-11-19T11:02:00Z</dcterms:created>
  <dc:creator>admin</dc:creator>
  <cp:lastModifiedBy>浅笑</cp:lastModifiedBy>
  <cp:lastPrinted>2025-11-19T12:02:00Z</cp:lastPrinted>
  <dcterms:modified xsi:type="dcterms:W3CDTF">2025-11-21T09:00:00Z</dcterms:modified>
  <dc:title>《新疆维吾尔自治区专业技术人员继续教育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