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300" w:lineRule="atLeast"/>
        <w:ind w:firstLine="354" w:firstLineChars="98"/>
        <w:rPr>
          <w:rFonts w:hint="eastAsia" w:ascii="黑体" w:eastAsia="黑体" w:cs="宋体"/>
          <w:b/>
          <w:color w:val="000000"/>
          <w:kern w:val="0"/>
          <w:sz w:val="36"/>
          <w:szCs w:val="36"/>
        </w:rPr>
      </w:pPr>
    </w:p>
    <w:p>
      <w:pPr>
        <w:widowControl/>
        <w:spacing w:line="300" w:lineRule="atLeast"/>
        <w:ind w:firstLine="1082" w:firstLineChars="245"/>
        <w:rPr>
          <w:rFonts w:hint="eastAsia" w:ascii="黑体" w:eastAsia="黑体" w:cs="宋体"/>
          <w:b/>
          <w:color w:val="000000"/>
          <w:kern w:val="0"/>
          <w:sz w:val="44"/>
          <w:szCs w:val="44"/>
        </w:rPr>
      </w:pPr>
    </w:p>
    <w:p>
      <w:pPr>
        <w:widowControl/>
        <w:spacing w:line="300" w:lineRule="atLeast"/>
        <w:ind w:firstLine="1082" w:firstLineChars="245"/>
        <w:rPr>
          <w:rFonts w:hint="eastAsia" w:ascii="黑体" w:eastAsia="黑体" w:cs="宋体"/>
          <w:b/>
          <w:color w:val="000000"/>
          <w:kern w:val="0"/>
          <w:sz w:val="44"/>
          <w:szCs w:val="44"/>
        </w:rPr>
      </w:pPr>
    </w:p>
    <w:p>
      <w:pPr>
        <w:widowControl/>
        <w:spacing w:line="300" w:lineRule="atLeast"/>
        <w:jc w:val="center"/>
        <w:rPr>
          <w:rFonts w:hint="eastAsia" w:ascii="方正小标宋_GBK" w:eastAsia="方正小标宋_GBK" w:cs="宋体"/>
          <w:color w:val="000000"/>
          <w:kern w:val="0"/>
          <w:sz w:val="48"/>
          <w:szCs w:val="48"/>
        </w:rPr>
      </w:pPr>
    </w:p>
    <w:p>
      <w:pPr>
        <w:widowControl/>
        <w:spacing w:line="300" w:lineRule="atLeast"/>
        <w:jc w:val="center"/>
        <w:rPr>
          <w:rFonts w:hint="eastAsia" w:ascii="方正小标宋_GBK" w:eastAsia="方正小标宋_GBK" w:cs="宋体"/>
          <w:color w:val="000000"/>
          <w:kern w:val="0"/>
          <w:sz w:val="48"/>
          <w:szCs w:val="48"/>
        </w:rPr>
      </w:pPr>
      <w:r>
        <w:rPr>
          <w:rFonts w:hint="eastAsia" w:ascii="方正小标宋_GBK" w:eastAsia="方正小标宋_GBK" w:cs="宋体"/>
          <w:color w:val="000000"/>
          <w:kern w:val="0"/>
          <w:sz w:val="48"/>
          <w:szCs w:val="48"/>
        </w:rPr>
        <w:t>自治区技工院校重点专业评审细则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</w:t>
      </w:r>
    </w:p>
    <w:p>
      <w:pPr>
        <w:rPr>
          <w:rFonts w:hint="eastAsia" w:ascii="黑体" w:eastAsia="黑体"/>
          <w:sz w:val="44"/>
          <w:szCs w:val="44"/>
        </w:rPr>
      </w:pPr>
      <w:r>
        <w:rPr>
          <w:rFonts w:hint="eastAsia"/>
        </w:rPr>
        <w:t xml:space="preserve">                            </w:t>
      </w:r>
      <w:r>
        <w:rPr>
          <w:rFonts w:hint="eastAsia"/>
          <w:sz w:val="44"/>
          <w:szCs w:val="44"/>
        </w:rPr>
        <w:t xml:space="preserve">  </w:t>
      </w:r>
    </w:p>
    <w:p>
      <w:pPr>
        <w:rPr>
          <w:rFonts w:hint="eastAsia" w:ascii="黑体" w:eastAsia="黑体"/>
          <w:sz w:val="44"/>
          <w:szCs w:val="44"/>
        </w:rPr>
      </w:pPr>
    </w:p>
    <w:p>
      <w:pPr>
        <w:tabs>
          <w:tab w:val="left" w:pos="3268"/>
        </w:tabs>
        <w:rPr>
          <w:rFonts w:hint="eastAsia" w:ascii="黑体" w:eastAsia="黑体"/>
          <w:sz w:val="44"/>
          <w:szCs w:val="44"/>
          <w:lang w:eastAsia="zh-CN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pStyle w:val="3"/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pStyle w:val="3"/>
        <w:rPr>
          <w:rFonts w:hint="eastAsia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ind w:firstLine="944" w:firstLineChars="295"/>
        <w:rPr>
          <w:rFonts w:hint="eastAsia" w:ascii="仿宋_GB2312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新疆维吾尔自治区人力资源和社会保障厅编制</w:t>
      </w:r>
    </w:p>
    <w:p>
      <w:pPr>
        <w:jc w:val="center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/>
          <w:sz w:val="32"/>
          <w:szCs w:val="32"/>
        </w:rPr>
        <w:t xml:space="preserve">年    月 </w:t>
      </w:r>
    </w:p>
    <w:p>
      <w:pPr>
        <w:widowControl/>
        <w:spacing w:line="300" w:lineRule="atLeast"/>
        <w:jc w:val="center"/>
        <w:rPr>
          <w:rFonts w:hint="eastAsia" w:ascii="方正小标宋_GBK" w:eastAsia="方正小标宋_GBK" w:cs="宋体"/>
          <w:color w:val="000000"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spacing w:line="300" w:lineRule="atLeast"/>
        <w:jc w:val="center"/>
        <w:rPr>
          <w:rFonts w:hint="eastAsia" w:ascii="方正小标宋_GBK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eastAsia="方正小标宋_GBK" w:cs="宋体"/>
          <w:color w:val="000000"/>
          <w:kern w:val="0"/>
          <w:sz w:val="36"/>
          <w:szCs w:val="36"/>
        </w:rPr>
        <w:t>自治区技工院校重点专业评审细则</w:t>
      </w:r>
      <w:bookmarkStart w:id="0" w:name="_GoBack"/>
      <w:bookmarkEnd w:id="0"/>
    </w:p>
    <w:tbl>
      <w:tblPr>
        <w:tblStyle w:val="6"/>
        <w:tblW w:w="155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086"/>
        <w:gridCol w:w="6871"/>
        <w:gridCol w:w="3789"/>
        <w:gridCol w:w="783"/>
        <w:gridCol w:w="1061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指标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指标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</w:rPr>
              <w:t>评审内容与标准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</w:rPr>
              <w:t>主要考察点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分值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自评分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自治区评分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办学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15分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10"/>
                <w:sz w:val="24"/>
                <w:szCs w:val="24"/>
              </w:rPr>
              <w:t>1-1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师资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①有与专业办学规模相适应、结构合理的专兼职教师队伍，本专业的专业课教师师生比不小于1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②专业带头人达到本科及以上学历、高级技术职称和本专业相关职业（工种）高级及以上职业资格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③专业课教师达到本科及以上学历、中级及以上专业技术职称和本专业相关职业（工种）高级及以上职业资格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86" w:hanging="585" w:hangingChars="257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④生产实习指导教师达到大专及以上学历和相关职业（工种）高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86" w:hanging="585" w:hangingChars="257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级及以上职业资格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FF66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专职教师的一体化比例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行业、企业兼职教师的比例，符合教学实施的要求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①专业带头人、教师（兼职教师）花名册以及相关学历和职业资格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证书材料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②兼职教师名册及相关证书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③一体化教师名册相关学历和职业资格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证书材料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1-2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师资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队伍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①有本专业的一体化教师队伍建设规划，一体化教师达到专业课教师总数的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0%，并逐年提升，取得显著效果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②有专业教师团队培养规划，并逐年提升，取得显著效果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专业教师下企业的时间每年不少于30天。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①一体化教师队伍建设规划及实施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材料。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教师培训制度、培训计划及实施情况材料、青年教师成长材料。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  <w:lang w:val="en-US" w:eastAsia="zh-CN"/>
              </w:rPr>
              <w:t>教师下企业实习申请表、签到表、企业评价表、实习总结、工作照片原始材料。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5" w:firstLineChars="98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1-3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设施设备和实习场所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有满足专业实习需要的校内（外）实习场所和实训设施设备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eastAsia="zh-CN"/>
              </w:rPr>
              <w:t>校内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主要实训设施设备先进，满足教学要求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保证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生均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实习工位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数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0.5以上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专业教室（一体化教室）和实验室满足专业特点及教学的需要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校园网站建设满足教育教学工作需要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校内（外）实训设施设备台帐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专业教室（一体化教室）设施设备台帐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u w:val="none" w:color="FF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u w:val="none" w:color="FF0000"/>
              </w:rPr>
              <w:t>管理制度、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u w:val="none" w:color="FF0000"/>
                <w:lang w:val="en-US" w:eastAsia="zh-CN"/>
              </w:rPr>
              <w:t>实训室、实训设备使用登记表等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u w:val="none" w:color="FF0000"/>
              </w:rPr>
              <w:t>原始记录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u w:val="none" w:color="FF000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教学资源库建设的相关资料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培养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模式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人才培养方案和课程标准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15分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2-1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校企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合作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①有健全的校企合作制度和技能人才培养实施计划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②与企业建立良好的校企合作关系，建有校外实训基地，并签订合作协议，成效显著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①校企合作台账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新增校企合作协议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校企活动照片（视频）、会议记录等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②效果评价材料等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2-2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培养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模式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①能以职业能力培养为重点，以校企结合为平台，创新人才培养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模式，校企共同培养高素质、高技能和可持续发展的职业技能人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才，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形成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人才共有、过程共管、成果共享、责任共担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的校企合作办学制度，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满足行业企业发展对技能人才的需求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②与企业开展“订单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班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、“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冠名班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培养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与企业合作开展现在学徒制培养。</w:t>
            </w:r>
          </w:p>
        </w:tc>
        <w:tc>
          <w:tcPr>
            <w:tcW w:w="3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①校企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融合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八共同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方面的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②“订单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班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、“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冠名班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培养协议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及活动材料（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照片、视频）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开展现代学徒制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培养协议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及活动材料（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照片、视频）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2-3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人才培养方案和课程标准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以市场需求为导向，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在充分调研和论证的基础上，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依据行业、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企业技术标准及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技能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标准，针对区域经济发展需求，与行业、企业共同制定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人才培养方案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人才培养方案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规范、科学，以技术应用能力为主体，相对稳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定，并具前瞻性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 xml:space="preserve">教学计划表实操课时比例超过50%，一体化课程占总课程数的40%.  </w:t>
            </w:r>
          </w:p>
        </w:tc>
        <w:tc>
          <w:tcPr>
            <w:tcW w:w="3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人才培养方案和课程标准等教学文件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9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35" w:firstLineChars="98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3．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专业设置     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办学规模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10分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3-1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设置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65" w:hanging="565" w:hangingChars="257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依据职业标准对知识、技能的要求，充分考虑学生的就业需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要，合理选择教学内容，进行专业设置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专业设置定位准确、恰当，与行业、企业需求相适应;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形成理论与实践相融合、以职业能力为导向的课程结构，注重专业知识的学习及实践技能的培养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①重点专业建设市场调研报告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教材的开发和使用。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5" w:firstLineChars="98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3-2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办学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规模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①本专业近三年学制教育每年招生人数在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人以上，评估当年在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校生人数不低于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00人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65" w:hanging="565" w:hangingChars="257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②专业培训人数年均达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00人次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0" w:hanging="22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招生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简章，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本专业学生注册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报到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表、相关资料、台帐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0" w:hanging="220" w:hangingChars="1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在校学生名册等相关资料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③培训协议、培训课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表、培训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签到表、培训照片等原始材料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  <w:jc w:val="center"/>
        </w:trPr>
        <w:tc>
          <w:tcPr>
            <w:tcW w:w="9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4.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专业教学管理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20分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4-1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与实施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①专业教学管理规范，规章制度健全，执行情况好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</w:rPr>
              <w:t>②规范使用教材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3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①教学管理文件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校内外实习教学管理制度、常规教学管理制度等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部颁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教材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使用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等相关原始材料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7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4-2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与教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科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研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①教学质量评价体系健全，考核方法科学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strike w:val="0"/>
                <w:color w:val="000000"/>
                <w:spacing w:val="-10"/>
                <w:sz w:val="24"/>
                <w:szCs w:val="24"/>
                <w:lang w:eastAsia="zh-CN"/>
              </w:rPr>
              <w:t>教学改革和教研活动成效显著。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专业教师近三年公开发表论文5篇以上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专业教师近三年获得自治区级以上技工教育教学研究成果1篇以上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⑤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教师参加自治区级职业技能大赛或者教师职业能力大赛获得二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等奖及以上项目1个或国赛三等奖及以上项目1个。</w:t>
            </w:r>
          </w:p>
        </w:tc>
        <w:tc>
          <w:tcPr>
            <w:tcW w:w="3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①教学质量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评价体系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制度文件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、学生评教制度文件、教科研管理制度文件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教师发表论文、教研成果、竞赛等情况汇总材料。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30" w:hanging="330" w:hangingChars="15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近三年学生评教数据原始资料。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30" w:hanging="360" w:hangingChars="15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 xml:space="preserve">近三年教学管理部门对课程、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30" w:hanging="330" w:hangingChars="15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val="en-US" w:eastAsia="zh-CN"/>
              </w:rPr>
              <w:t>教师的评教数据原始资料。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4-3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方法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手段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①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专业课程和专业实习、实训项目采用先进的多种教学手段，培养学生实践能力、职业核心能力、职业道德和职业技能效果显著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0" w:hanging="22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合理利用多媒体等现代教育技术和仿真教学环境，优化教学过程，提高教学质量，取得实效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①课程表、授课计划、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教案、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教学日志等相关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原始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资料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使用多媒体教学等相关资料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4-4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实习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实训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①实习、实训教学课程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标准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、专业指导书、考核标准等资料健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全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实习、实训教学由一体化教师担任，效果好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②实习、实训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一体化课程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教学课时达50%以上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</w:rPr>
              <w:t>③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</w:rPr>
              <w:t>有效增加对口实习岗位，三年制学生累计实习时间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符合2021年12月发布的教育部等八部门文件要求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</w:rPr>
              <w:t>，有强有力的校企合作管理团队和师资队伍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</w:rPr>
              <w:t>①教学管理文件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</w:rPr>
              <w:t>②本校实施性教学计划相关材料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</w:rPr>
              <w:t>③校企合作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</w:rPr>
              <w:t>管理团队、师资队伍的相关资料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pacing w:val="-10"/>
                <w:sz w:val="24"/>
                <w:szCs w:val="24"/>
                <w:lang w:val="en-US" w:eastAsia="zh-CN"/>
              </w:rPr>
              <w:t>实训室使用记录原始资料。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</w:rPr>
              <w:t>⑤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学生企业实习相关原始材料及实习时间统计表等相关材料。</w:t>
            </w:r>
          </w:p>
        </w:tc>
        <w:tc>
          <w:tcPr>
            <w:tcW w:w="7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9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35" w:firstLineChars="98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5．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质量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25分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5-1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声誉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①专业教学质量高，专业建设得到学生、家长和社会的好评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20" w:hanging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②学校社会声誉好，在素质教育和学生管理方面有示范作用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20" w:hanging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用人单位对毕业生满意率达90%以上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面向区域开展技能和新技术培训，为行业、企业、社会提供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多样化的技能培训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⑤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  <w:t>学生参加相关技能竞赛获得地市（厅）级二等奖以上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2个或者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国赛二等奖及以上项目1个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学生、家长、社会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评价材料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②学校取得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州、市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级以上的各项荣誉称号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③用人单位对学生的综合评价证明材料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学校对外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相关培训资料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学生在相关竞赛中的获奖情况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5-2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办学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成效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①学校实行毕业证书和职业资格证书“双证书”制度，职业资格证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书取证率（中级工）达90%以上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65" w:hanging="565" w:hangingChars="257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②连续两年学生一次性毕业率达到95%以上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③连续两年学生一次性就业率达到90%以上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专业对口稳定就业率达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到70%以上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①近三年学生参加职业资格证鉴定情况登记表、统计表等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②近三年学生毕业、就业情况登记表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③近三年学校与用人单位就业协议资料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5-3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教学质量提升机制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①开展了生源状况调查分析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②建立了毕业生质量跟踪调查机制，运行良好，反馈及时、准确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③有针对性地制定并实施教学质量提升方案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①生源状况调查分析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报告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近三年的毕业生调查报告。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③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根据调查报告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实施教学质量提升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的具体实施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方案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材料。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5-4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教学质量保障机制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①有健全的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校级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教学督导机构，会同专业负责人共同实施专业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人才培养质量监督过程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②强化教学过程管理、教学质量管理，相关制度规范，执行效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果好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①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教学督导组织机构及人员花名册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②教学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督导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管理文件，管理制度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</w:rPr>
              <w:t>③教学质量管理过程相关资料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5-5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教学档案与教学文件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  <w:t>专业教学基本文件和教学管理档案保存齐备，分类清晰、客观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pacing w:val="-10"/>
                <w:sz w:val="24"/>
                <w:szCs w:val="24"/>
                <w:highlight w:val="none"/>
              </w:rPr>
              <w:t>①查</w:t>
            </w:r>
            <w:r>
              <w:rPr>
                <w:rFonts w:hint="eastAsia" w:ascii="仿宋" w:hAnsi="仿宋" w:eastAsia="仿宋" w:cs="仿宋"/>
                <w:strike w:val="0"/>
                <w:dstrike w:val="0"/>
                <w:kern w:val="0"/>
                <w:sz w:val="24"/>
                <w:szCs w:val="24"/>
                <w:highlight w:val="none"/>
              </w:rPr>
              <w:t>档案管理制度</w:t>
            </w:r>
            <w:r>
              <w:rPr>
                <w:rFonts w:hint="eastAsia" w:ascii="仿宋" w:hAnsi="仿宋" w:eastAsia="仿宋" w:cs="仿宋"/>
                <w:strike w:val="0"/>
                <w:dstrike w:val="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pacing w:val="-1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strike w:val="0"/>
                <w:dstrike w:val="0"/>
                <w:kern w:val="0"/>
                <w:sz w:val="24"/>
                <w:szCs w:val="24"/>
                <w:highlight w:val="none"/>
              </w:rPr>
              <w:t>教学文字档案及电子档案的收集、整理、分类、归档、保管规范，符合标准</w:t>
            </w:r>
            <w:r>
              <w:rPr>
                <w:rFonts w:hint="eastAsia" w:ascii="仿宋" w:hAnsi="仿宋" w:eastAsia="仿宋" w:cs="仿宋"/>
                <w:strike w:val="0"/>
                <w:dstrike w:val="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trike w:val="0"/>
                <w:dstrike w:val="0"/>
                <w:kern w:val="0"/>
                <w:sz w:val="24"/>
                <w:szCs w:val="24"/>
                <w:highlight w:val="none"/>
              </w:rPr>
              <w:cr/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  <w:jc w:val="center"/>
        </w:trPr>
        <w:tc>
          <w:tcPr>
            <w:tcW w:w="9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保障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5分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组织机构与政策支持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①有重点专业建设的相关扶持政策，并认真执行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②成立了以行业企业专家和学校有关人员共同组成的专业建设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指导委员会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专业建设指导委员会积极参与人才培养方案的制订，并参与专业建设的全过程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学校支持鼓励重点专业建设的政策措施方案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专业建设指导委员会章程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成立文件及活动资料（照片、视频）、会议记录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委员会指导专业建设设的活动资料（照片、视频）、会议记录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6-2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资金投入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计划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设立了重点专业建设专项经费，经费投入符合专业建设要求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建设经费使用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情况相关材料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jc w:val="center"/>
        </w:trPr>
        <w:tc>
          <w:tcPr>
            <w:tcW w:w="9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特色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示范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10分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7-1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与创新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①毕业生在职业道德与素养、知识与能力结构等方面有独到之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处，在行业、专业领域得到广泛认可，具有较高的知名度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②在人才培养途径、手段和方式、教学设计、课程体系、知识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和技能的结构设计上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等方面有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新颖性和独到之处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③专业带头人及教学团队具有打造本专业教学质量和特色的创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新精神，初步形成了一支教学名师队伍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④在校企合作上有独创性，尤其重视学生通过参加生产实习参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与技术开发与创新等，获得职业能力与专业技术应用能力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①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highlight w:val="none"/>
              </w:rPr>
              <w:t>重点专业申报表中所报的特色与创新点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专业带头人及教学团队打造本专业教学质量的相关资料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名师工作室相关材料。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③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highlight w:val="none"/>
              </w:rPr>
              <w:t>校企合作模式与成效相关资料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④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具体的案例、事件的相关材料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7-2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示范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与引领</w:t>
            </w:r>
          </w:p>
        </w:tc>
        <w:tc>
          <w:tcPr>
            <w:tcW w:w="6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①申报专业成为区域内专业教学指导中心、实习实训中心、师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资培训中心、职业技能鉴定所（站）、行业或区域技能型人才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培训中心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②对同类专业在人才培养模式、专业建设、就业指导方面发挥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示范作用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</w:rPr>
              <w:t>专业扩展情况资质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</w:rPr>
              <w:t>专业培养评价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③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具体的案例、事件的相关材料。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6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总  分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115DF"/>
    <w:rsid w:val="00ED33BC"/>
    <w:rsid w:val="06F115DF"/>
    <w:rsid w:val="5475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  <w:rPr>
      <w:rFonts w:eastAsia="宋体" w:cs="Times New Roman"/>
      <w:sz w:val="21"/>
      <w:szCs w:val="24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2025-08-27T03:36:00Z</dcterms:created>
  <dc:creator>hp</dc:creator>
  <cp:lastModifiedBy>hp</cp:lastModifiedBy>
  <dcterms:modified xsi:type="dcterms:W3CDTF">2025-08-27T03:41:28Z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