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widowControl/>
        <w:spacing w:line="300" w:lineRule="atLeast"/>
        <w:ind w:firstLine="354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ind w:firstLine="354" w:firstLineChars="98"/>
        <w:rPr>
          <w:rFonts w:ascii="黑体" w:eastAsia="黑体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</w:p>
    <w:p>
      <w:pPr>
        <w:widowControl/>
        <w:spacing w:line="300" w:lineRule="atLeast"/>
        <w:jc w:val="center"/>
        <w:rPr>
          <w:rFonts w:ascii="方正小标宋_GBK" w:eastAsia="方正小标宋_GBK" w:cs="宋体"/>
          <w:color w:val="000000"/>
          <w:kern w:val="0"/>
          <w:sz w:val="48"/>
          <w:szCs w:val="48"/>
        </w:rPr>
      </w:pPr>
      <w:r>
        <w:rPr>
          <w:rFonts w:hint="eastAsia" w:ascii="方正小标宋_GBK" w:eastAsia="方正小标宋_GBK" w:cs="宋体"/>
          <w:color w:val="000000"/>
          <w:kern w:val="0"/>
          <w:sz w:val="48"/>
          <w:szCs w:val="48"/>
        </w:rPr>
        <w:t>自治区技工院校专业课精品课程</w:t>
      </w:r>
    </w:p>
    <w:p>
      <w:pPr>
        <w:widowControl/>
        <w:spacing w:line="300" w:lineRule="atLeast"/>
        <w:jc w:val="center"/>
        <w:rPr>
          <w:rFonts w:ascii="黑体" w:eastAsia="黑体" w:cs="宋体"/>
          <w:b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jc w:val="center"/>
        <w:rPr>
          <w:rFonts w:asci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eastAsia="黑体" w:cs="宋体"/>
          <w:color w:val="000000"/>
          <w:kern w:val="0"/>
          <w:sz w:val="44"/>
          <w:szCs w:val="44"/>
        </w:rPr>
        <w:t>评 审 细 则</w:t>
      </w:r>
    </w:p>
    <w:p/>
    <w:p/>
    <w:p>
      <w:r>
        <w:rPr>
          <w:rFonts w:hint="eastAsia"/>
        </w:rPr>
        <w:t xml:space="preserve">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新疆维吾尔自治区人力资源和社会保障厅编制</w:t>
      </w:r>
    </w:p>
    <w:p>
      <w:pPr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年  月</w:t>
      </w:r>
    </w:p>
    <w:p/>
    <w:p>
      <w:pPr>
        <w:spacing w:line="560" w:lineRule="exact"/>
        <w:sectPr>
          <w:pgSz w:w="11905" w:h="16838"/>
          <w:pgMar w:top="1440" w:right="1803" w:bottom="1440" w:left="1803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jc w:val="center"/>
        <w:rPr>
          <w:rFonts w:ascii="黑体" w:hAnsi="宋体" w:eastAsia="黑体" w:cs="宋体"/>
          <w:color w:val="10101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101010"/>
          <w:kern w:val="0"/>
          <w:sz w:val="36"/>
          <w:szCs w:val="36"/>
        </w:rPr>
        <w:t>自治区技工院校专业课精品课程评审细则</w:t>
      </w:r>
    </w:p>
    <w:tbl>
      <w:tblPr>
        <w:tblStyle w:val="3"/>
        <w:tblW w:w="14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180"/>
        <w:gridCol w:w="6070"/>
        <w:gridCol w:w="4210"/>
        <w:gridCol w:w="670"/>
        <w:gridCol w:w="82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指标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指标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pacing w:val="-10"/>
                <w:sz w:val="24"/>
                <w:szCs w:val="21"/>
              </w:rPr>
              <w:t>评审内容和标准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  要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考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察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点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分值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自治区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定位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总体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设计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①说课视频及说课稿(课程的性质与作用、课程建设的理念与思路、教学设计以及相应的教学设施、环境和实训实习场景等)。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②课程目标明确。课程定位体现就业导向、能力本位，符合学生认知水平。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③提交的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课程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说课视频时长不超过8分钟，视频声音清楚、画面清晰、图像稳定，声音与画面同步。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①查教学人才培养方案和课程标准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（使用国标或者完成了国标的校本转化）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②查看汇报PPT。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③查看课程说课视频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7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校企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合作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探索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与实践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3家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以上规模企业签订校企合作协议，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其中至少1家规上企业或行业龙头企业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，至少1位以上符合条件的企业兼职教师到学校上课。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②合作企业、企业兼职教师、教学模式改革、校外实习基地和上岗实习管理等情况合法规范。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①校企合作制度和培养技能人才实施计划。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②校企合作协议。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③查校企合作的相关资料。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24分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内容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①教学内容统筹与选择(根据岗位的需要选择教学内容);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②教学内容组织与编排(以真实工作任务为依据整合教学内容,设计学习性工作任务,进行一体化的教学设计)。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①查课程标准。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②查近三年教材使用情况。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③查看近三年授课计划、课程教案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（教学设计）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、教学日志。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18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2-2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资料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①课程标准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使用国标或者完成国标的校本转化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)、学期授课计划。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②教辅资料(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视频、教具、技术文件、教学软件、教材、考核资料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等)。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③课程授课计划、多媒体课件。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 xml:space="preserve">④试题库或试卷库必须含有5套以上试题。 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①查课程试卷与成绩。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②查教师与学生作品。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③查教师、学生在相关竞赛中的获奖情况。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查看师生座谈会原始记录。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实施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15分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模式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改革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①教学模式改革研究。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②教学模式改革实践与探索。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③校企合作管理（生产实训管理制度、安全生产管理制度、技术操作规程）。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以学生职业能力培养为重点，紧贴岗位实际生产过程，积极开展教学，合理设计教学方法和教学评价。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①查各项生产实训规章制度。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②查教学大纲、实习实训指导书、实习实训计划、实习实训日志。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③查实习、实训教案。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教学评价办法。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方法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手段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①开展一体化教学的研究情况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②一体化教学的探索与实践情况。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③实践能力培养（实践教学考核手册、双证要求、技能活动）。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④注重教学方法的改进，因材施教，调动学生学习积极性。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能根据课程特点合理选用现代教育技术和传统教学手段，效果较好。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①查教案和教学指导书。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②查看学生座谈会原始记录。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③查看近三年问卷调查表。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教学方法的使用及其教学效果、考试方法改革等相关资料。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5 \* GB3 \* MERGEFORMAT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⑤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查看学生评教材料。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highlight w:val="none"/>
                <w:u w:val="single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sz w:val="24"/>
                <w:highlight w:val="none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3-3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资源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①具有对应教学内容的指为有效开展教学提供的视频、课件、教具、技术文件、教学软件、教材、任务书或工作页、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信息页、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考核资料等不同类型的素材。分类标注清晰，丰富多样，满足教学需要。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②教学录像收集、整理情况。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查教学资源库，要分类标注清晰，丰富多样，满足教学需要。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>查看校园网多媒体教学资源建设、及上网和使用情况（点击率）及多媒体教学硬件环境和软件资源。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课程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师资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专业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能力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①课程负责人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从事专业技术工作与本课程相关，职称高、职业技能等级高，具有企业实践经历，教学满意度高，职业能力比赛成绩优秀。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②专业教师积极参加“工学一体化”培训，熟悉“1标准1指南4手册”的相关内容，能正确运用的教学中去。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“1标准1指南4手册”指：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技工院校工学一体化教师培训标准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《工学一体化课程教学资源开发指南》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《工学一体化课程开发指导手册》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《工学一体化课程教学实施指导手册》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《工学一体化教师培训指导手册》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《工学一体化课程评价指导手册》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（待发布）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instrText xml:space="preserve"> = 1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查主讲老师近三年来承担的教学任务，近三年获得的教学表彰和学术表彰，主持的研究课题，公开发表的论文。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instrText xml:space="preserve"> = 2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②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专业教师参加与“工学一体化”相关的培训统计表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highlight w:val="none"/>
                <w:u w:val="single"/>
                <w:lang w:val="en-US" w:eastAsia="zh-CN"/>
              </w:rPr>
              <w:t>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队伍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结构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教学团队的专业结构、年龄结构、企业兼职教师比例合理。专任教师的一体化比例达90%以上，一级、二级、三级“工学一体化”教师原则上不少于5人。符合课程性质和教学实施的要求。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①查课程团队的学历证书、职称证书、教师资格证、职业资格证、技工院校工学一体化教师培训合格证书。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shd w:val="clear" w:color="auto" w:fill="auto"/>
                <w:lang w:val="en-US" w:eastAsia="zh-CN"/>
              </w:rPr>
              <w:t>②查看学生座谈会原始记录，了解课程团队的整体水平。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spacing w:val="-10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highlight w:val="none"/>
                <w:u w:val="single"/>
                <w:lang w:val="en-US" w:eastAsia="zh-CN"/>
              </w:rPr>
              <w:t>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成果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①省</w:t>
            </w:r>
            <w:r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  <w:t>级以上教科研成果1项或地市（厅）级教科研成果2项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②对外服务10场次/年(培训、咨询、生产、鉴定等)。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①查近三年教学成果奖获奖证明。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②查近三年教研成果推广应用的证明材料。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实践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条件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校内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实习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实训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6070" w:type="dxa"/>
            <w:noWrap w:val="0"/>
            <w:vAlign w:val="top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①校内实习、实训基地建设(由企业与学校共建，并能满足生产性实习、实训或仿真实训的需要，实习场地使用率70%以上)。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②辐射效应（对外承担师资培训100人次/年以上、为企业提供技术服务）。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①查课程相关的实习、实训设备及运行情况。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②查课程实习、实训的实施情况。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③查相关实习、实训室管理制度与规范。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查设备台账。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spacing w:val="-1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5-2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校外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实习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实训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①和3家以上规模企业共建校外实习实训基地的建设(与校内实训基地建设筹规划，布点合理、功能明确，为课程的实践教学提供真实的工作环境，使学生能够了解企业实际、体验企业文化)。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②学生校外岗位实习符合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《教育部等八部门关于印发〈职业学校学生实习管理规定〉的通知》（教职成〔2021〕4号）等文件精神。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val="en-US" w:eastAsia="zh-CN"/>
              </w:rPr>
              <w:t>①查企业合作协议。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lang w:val="en-US" w:eastAsia="zh-CN"/>
              </w:rPr>
              <w:t>②查课程校外实习、实训工作记录。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  <w:highlight w:val="none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教学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效果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10分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考核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成绩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学生学业成绩（课程成绩）优良率达到80%以上。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①查学生成绩单原始材料。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学校管理部分对本课程教学评价优秀，学生对本课程教学评价优秀率90%以上。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①查教学管理部门的评价材料。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②查学生评教材料。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6-3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相关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评价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①学生参加相关技能竞赛获得地市（厅）级二等奖以上。</w:t>
            </w:r>
          </w:p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②双证持证率。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③企业岗位实习评价情况。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毕业生直接就业率（第三方）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①查学生在相关竞赛中的获奖情况。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②查学生技能鉴定考试成绩材料。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③学生岗位实习信息反馈情况。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instrText xml:space="preserve"> = 4 \* GB3 </w:instrTex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④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近3年中级工毕业生直接就业率（不含升学）达到60%以上或高级工及以上毕业生直接就业率达到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70</w:t>
            </w: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%以上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（第三方统计）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spacing w:val="-1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7.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创新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示范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引领</w:t>
            </w:r>
          </w:p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12分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特色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创新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①课程建设形成个性化，有自身特点。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②创新成果，体现在课程设计、教学内容、教学方法和手段、实践环节等各个方面，对提高教学质量效果显著。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①精品课程申报表中所报特色创新点。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u w:val="none"/>
                <w:lang w:val="en-US" w:eastAsia="zh-CN"/>
              </w:rPr>
              <w:t>②课程特色与创新点的具体思想、事件、案例的相关材料。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仿宋_GB2312" w:hAnsi="仿宋_GB2312" w:eastAsia="仿宋_GB2312" w:cs="宋体"/>
                <w:color w:val="auto"/>
                <w:spacing w:val="-1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7-2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示范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引领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举行区（市、校）级示范课或者公开课，在本区（市、校）推广或者共享，被学习参观、宣传报道，具有示范引领作用。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①示范课或者公开课安排表，听课评价表，相关照片、视频等原始资料。</w:t>
            </w:r>
          </w:p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②相关新闻报道材料。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8.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保障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4分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8-1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组织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机制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学校对精品课程制定了相应制度，采取了激励措施，且全面落实。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查精品课是否有专门在管理部门，学校针对精品课程建设支持在相关文件。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8-2</w:t>
            </w:r>
          </w:p>
          <w:p>
            <w:pPr>
              <w:spacing w:line="360" w:lineRule="exact"/>
              <w:ind w:right="57"/>
              <w:jc w:val="center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绩效</w:t>
            </w:r>
          </w:p>
        </w:tc>
        <w:tc>
          <w:tcPr>
            <w:tcW w:w="607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default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学校对本课程建设有配套资金投入，成效显著</w:t>
            </w:r>
          </w:p>
        </w:tc>
        <w:tc>
          <w:tcPr>
            <w:tcW w:w="4210" w:type="dxa"/>
            <w:noWrap w:val="0"/>
            <w:vAlign w:val="center"/>
          </w:tcPr>
          <w:p>
            <w:pPr>
              <w:spacing w:line="360" w:lineRule="exact"/>
              <w:ind w:right="57"/>
              <w:jc w:val="both"/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lang w:val="en-US" w:eastAsia="zh-CN"/>
              </w:rPr>
              <w:t>查学校财务部门对精品课程建设资金安排的文件或者计划。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spacing w:val="-10"/>
                <w:sz w:val="24"/>
                <w:lang w:val="en-US" w:eastAsia="zh-CN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auto"/>
                <w:sz w:val="24"/>
                <w:lang w:val="en-US" w:eastAsia="zh-CN"/>
              </w:rPr>
              <w:t>总  分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宋体"/>
                <w:b/>
                <w:bCs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color w:val="000000"/>
                <w:spacing w:val="-10"/>
                <w:sz w:val="24"/>
                <w:lang w:val="en-US" w:eastAsia="zh-CN"/>
              </w:rPr>
              <w:t>100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b/>
                <w:bCs/>
                <w:color w:val="000000"/>
                <w:spacing w:val="-1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仿宋_GB2312" w:hAnsi="仿宋_GB2312" w:eastAsia="仿宋_GB2312" w:cs="宋体"/>
                <w:spacing w:val="-10"/>
                <w:sz w:val="24"/>
                <w:szCs w:val="1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4ED46E6A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2024-06-05T03:23:44Z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