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300" w:lineRule="atLeast"/>
        <w:ind w:firstLine="354" w:firstLineChars="98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</w:p>
    <w:p>
      <w:pPr>
        <w:widowControl/>
        <w:spacing w:line="300" w:lineRule="atLeast"/>
        <w:ind w:firstLine="1082" w:firstLineChars="245"/>
        <w:rPr>
          <w:rFonts w:hint="eastAsia" w:ascii="黑体" w:eastAsia="黑体" w:cs="宋体"/>
          <w:b/>
          <w:color w:val="000000"/>
          <w:kern w:val="0"/>
          <w:sz w:val="44"/>
          <w:szCs w:val="44"/>
        </w:rPr>
      </w:pPr>
    </w:p>
    <w:p>
      <w:pPr>
        <w:widowControl/>
        <w:spacing w:line="300" w:lineRule="atLeast"/>
        <w:ind w:firstLine="1082" w:firstLineChars="245"/>
        <w:rPr>
          <w:rFonts w:hint="eastAsia" w:ascii="黑体" w:eastAsia="黑体" w:cs="宋体"/>
          <w:b/>
          <w:color w:val="000000"/>
          <w:kern w:val="0"/>
          <w:sz w:val="44"/>
          <w:szCs w:val="44"/>
        </w:rPr>
      </w:pPr>
    </w:p>
    <w:p>
      <w:pPr>
        <w:widowControl/>
        <w:spacing w:line="300" w:lineRule="atLeast"/>
        <w:jc w:val="center"/>
        <w:rPr>
          <w:rFonts w:hint="eastAsia" w:ascii="方正小标宋_GBK" w:eastAsia="方正小标宋_GBK" w:cs="宋体"/>
          <w:color w:val="000000"/>
          <w:kern w:val="0"/>
          <w:sz w:val="48"/>
          <w:szCs w:val="48"/>
        </w:rPr>
      </w:pPr>
    </w:p>
    <w:p>
      <w:pPr>
        <w:widowControl/>
        <w:spacing w:line="300" w:lineRule="atLeast"/>
        <w:jc w:val="center"/>
        <w:rPr>
          <w:rFonts w:hint="eastAsia" w:ascii="方正小标宋_GBK" w:eastAsia="方正小标宋_GBK" w:cs="宋体"/>
          <w:color w:val="000000"/>
          <w:kern w:val="0"/>
          <w:sz w:val="48"/>
          <w:szCs w:val="48"/>
        </w:rPr>
      </w:pPr>
      <w:r>
        <w:rPr>
          <w:rFonts w:hint="eastAsia" w:ascii="方正小标宋_GBK" w:eastAsia="方正小标宋_GBK" w:cs="宋体"/>
          <w:color w:val="000000"/>
          <w:kern w:val="0"/>
          <w:sz w:val="48"/>
          <w:szCs w:val="48"/>
        </w:rPr>
        <w:t>自治区技工院校重点专业评审细则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</w:t>
      </w:r>
    </w:p>
    <w:p>
      <w:pPr>
        <w:rPr>
          <w:rFonts w:hint="eastAsia" w:ascii="黑体" w:eastAsia="黑体"/>
          <w:sz w:val="44"/>
          <w:szCs w:val="44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sz w:val="44"/>
          <w:szCs w:val="44"/>
        </w:rPr>
        <w:t xml:space="preserve">  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tabs>
          <w:tab w:val="left" w:pos="3268"/>
        </w:tabs>
        <w:rPr>
          <w:rFonts w:hint="eastAsia" w:ascii="黑体" w:eastAsia="黑体"/>
          <w:sz w:val="44"/>
          <w:szCs w:val="44"/>
          <w:lang w:eastAsia="zh-CN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pStyle w:val="3"/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pStyle w:val="3"/>
        <w:rPr>
          <w:rFonts w:hint="eastAsia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ind w:firstLine="944" w:firstLineChars="295"/>
        <w:rPr>
          <w:rFonts w:hint="eastAsia" w:ascii="仿宋_GB2312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新疆维吾尔自治区人力资源和社会保障厅编制</w:t>
      </w:r>
    </w:p>
    <w:p>
      <w:pPr>
        <w:jc w:val="center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/>
          <w:sz w:val="32"/>
          <w:szCs w:val="32"/>
        </w:rPr>
        <w:t xml:space="preserve">年    月 </w:t>
      </w:r>
    </w:p>
    <w:p>
      <w:pPr>
        <w:widowControl/>
        <w:spacing w:line="300" w:lineRule="atLeast"/>
        <w:jc w:val="center"/>
        <w:rPr>
          <w:rFonts w:hint="eastAsia" w:ascii="方正小标宋_GBK" w:eastAsia="方正小标宋_GBK" w:cs="宋体"/>
          <w:color w:val="000000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spacing w:line="300" w:lineRule="atLeast"/>
        <w:jc w:val="center"/>
        <w:rPr>
          <w:rFonts w:hint="eastAsia" w:ascii="方正小标宋_GBK" w:eastAsia="方正小标宋_GBK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eastAsia="方正小标宋_GBK" w:cs="宋体"/>
          <w:color w:val="000000"/>
          <w:kern w:val="0"/>
          <w:sz w:val="36"/>
          <w:szCs w:val="36"/>
        </w:rPr>
        <w:t>自治区技工院校重点专业评审细则</w:t>
      </w:r>
    </w:p>
    <w:tbl>
      <w:tblPr>
        <w:tblStyle w:val="4"/>
        <w:tblW w:w="15532" w:type="dxa"/>
        <w:jc w:val="center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086"/>
        <w:gridCol w:w="6871"/>
        <w:gridCol w:w="3789"/>
        <w:gridCol w:w="783"/>
        <w:gridCol w:w="1061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指标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  <w:t>评审内容与标准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  <w:t>主要考察点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分值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自评分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自治区评分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办学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10"/>
                <w:sz w:val="24"/>
                <w:szCs w:val="24"/>
              </w:rPr>
              <w:t>1-1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师资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①有与专业办学规模相适应、结构合理的专兼职教师队伍，本专业的专业课教师师生比不小于1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②专业带头人达到本科及以上学历、高级技术职称和本专业相关职业（工种）高级及以上职业资格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③专业课教师达到本科及以上学历、中级及以上专业技术职称和本专业相关职业（工种）高级及以上职业资格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86" w:hanging="585" w:hangingChars="25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④生产实习指导教师达到大专及以上学历和相关职业（工种）高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86" w:hanging="585" w:hangingChars="25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级及以上职业资格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FF66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专职教师的一体化比例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行业、企业兼职教师的比例，符合教学实施的要求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①专业带头人、教师（兼职教师）花名册以及相关学历和职业资格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证书材料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②兼职教师名册及相关证书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③一体化教师名册相关学历和职业资格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证书材料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师资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队伍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①有本专业的一体化教师队伍建设规划，一体化教师达到专业课教师总数的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0%，并逐年提升，取得显著效果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②有专业教师团队培养规划，并逐年提升，取得显著效果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专业教师下企业的时间每年不少于30天。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①一体化教师队伍建设规划及实施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教师培训制度、培训计划及实施情况材料、青年教师成长材料。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教师下企业实习申请表、签到表、企业评价表、实习总结、工作照片原始材料。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5" w:firstLineChars="98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1-3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设施设备和实习场所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有满足专业实习需要的校内（外）实习场所和实训设施设备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  <w:t>校内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主要实训设施设备先进，满足教学要求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保证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生均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实习工位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数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0.5以上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专业教室（一体化教室）和实验室满足专业特点及教学的需要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校园网站建设满足教育教学工作需要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校内（外）实训设施设备台帐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专业教室（一体化教室）设施设备台帐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u w:val="none" w:color="FF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u w:val="none" w:color="FF0000"/>
              </w:rPr>
              <w:t>管理制度、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u w:val="none" w:color="FF0000"/>
                <w:lang w:val="en-US" w:eastAsia="zh-CN"/>
              </w:rPr>
              <w:t>实训室、实训设备使用登记表等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u w:val="none" w:color="FF0000"/>
              </w:rPr>
              <w:t>原始记录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u w:val="none" w:color="FF000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教学资源库建设的相关资料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模式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人才培养方案和课程标准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15分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2-1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校企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合作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①有健全的校企合作制度和技能人才培养实施计划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②与企业建立良好的校企合作关系，建有校外实训基地，并签订合作协议，成效显著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①校企合作台账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新增校企合作协议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校企活动照片（视频）、会议记录等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②效果评价材料等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模式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①能以职业能力培养为重点，以校企结合为平台，创新人才培养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模式，校企共同培养高素质、高技能和可持续发展的职业技能人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才，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形成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人才共有、过程共管、成果共享、责任共担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的校企合作办学制度，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满足行业企业发展对技能人才的需求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②与企业开展“订单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、“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冠名班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培养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与企业合作开展现在学徒制培养。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①校企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融合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八共同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方面的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②“订单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、“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冠名班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培养协议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及活动材料（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照片、视频）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开展现代学徒制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培养协议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及活动材料（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照片、视频）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2-3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人才培养方案和课程标准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以市场需求为导向，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在充分调研和论证的基础上，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依据行业、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企业技术标准及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标准，针对区域经济发展需求，与行业、企业共同制定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人才培养方案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人才培养方案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规范、科学，以技术应用能力为主体，相对稳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定，并具前瞻性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 xml:space="preserve">教学计划表实操课时比例超过50%，一体化课程占总课程数的40%.  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人才培养方案和课程标准等教学文件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35" w:firstLineChars="98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3．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专业设置     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办学规模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10分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3-1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设置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65" w:hanging="565" w:hangingChars="25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依据职业标准对知识、技能的要求，充分考虑学生的就业需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要，合理选择教学内容，进行专业设置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专业设置定位准确、恰当，与行业、企业需求相适应;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形成理论与实践相融合、以职业能力为导向的课程结构，注重专业知识的学习及实践技能的培养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①重点专业建设市场调研报告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教材的开发和使用。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5" w:firstLineChars="98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3-2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办学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规模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①本专业近三年学制教育每年招生人数在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人以上，评估当年在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校生人数不低于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00人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65" w:hanging="565" w:hangingChars="25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②专业培训人数年均达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00人次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0" w:hanging="22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招生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简章，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本专业学生注册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报到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表、相关资料、台帐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0" w:hanging="220" w:hangingChars="1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在校学生名册等相关资料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③培训协议、培训课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表、培训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签到表、培训照片等原始材料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4.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专业教学管理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20分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4-1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与实施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①专业教学管理规范，规章制度健全，执行情况好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②规范使用教材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①教学管理文件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校内外实习教学管理制度、常规教学管理制度等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部颁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教材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等相关原始材料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4-2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与教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研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①教学质量评价体系健全，考核方法科学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color w:val="000000"/>
                <w:spacing w:val="-10"/>
                <w:sz w:val="24"/>
                <w:szCs w:val="24"/>
                <w:lang w:eastAsia="zh-CN"/>
              </w:rPr>
              <w:t>教学改革和教研活动成效显著。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专业教师近三年公开发表论文5篇以上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专业教师近三年获得自治区级以上技工教育教学研究成果1篇以上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教师参加自治区级职业技能大赛或者教师职业能力大赛获得二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等奖及以上项目1个或国赛三等奖及以上项目1个。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①教学质量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评价体系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制度文件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、学生评教制度文件、教科研管理制度文件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教师发表论文、教研成果、竞赛等情况汇总材料。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0" w:hanging="330" w:hangingChars="15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近三年学生评教数据原始资料。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0" w:hanging="360" w:hangingChars="15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 xml:space="preserve">近三年教学管理部门对课程、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0" w:hanging="330" w:hangingChars="15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教师的评教数据原始资料。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4-3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方法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手段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专业课程和专业实习、实训项目采用先进的多种教学手段，培养学生实践能力、职业核心能力、职业道德和职业技能效果显著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0" w:hanging="22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合理利用多媒体等现代教育技术和仿真教学环境，优化教学过程，提高教学质量，取得实效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①课程表、授课计划、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教案、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教学日志等相关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原始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资料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使用多媒体教学等相关资料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4-4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实习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实训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①实习、实训教学课程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标准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、专业指导书、考核标准等资料健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全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实习、实训教学由一体化教师担任，效果好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②实习、实训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一体化课程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教学课时达50%以上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</w:rPr>
              <w:t>有效增加对口实习岗位，三年制学生累计实习时间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符合2021年12月发布的教育部等八部门文件要求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</w:rPr>
              <w:t>，有强有力的校企合作管理团队和师资队伍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①教学管理文件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②本校实施性教学计划相关材料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③校企合作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</w:rPr>
              <w:t>管理团队、师资队伍的相关资料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lang w:val="en-US" w:eastAsia="zh-CN"/>
              </w:rPr>
              <w:t>实训室使用记录原始资料。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学生企业实习相关原始材料及实习时间统计表等相关材料。</w:t>
            </w:r>
          </w:p>
        </w:tc>
        <w:tc>
          <w:tcPr>
            <w:tcW w:w="7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35" w:firstLineChars="98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5．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质量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5-1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声誉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①专业教学质量高，专业建设得到学生、家长和社会的好评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20" w:hanging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②学校社会声誉好，在素质教育和学生管理方面有示范作用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20" w:hanging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用人单位对毕业生满意率达90%以上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面向区域开展技能和新技术培训，为行业、企业、社会提供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多样化的技能培训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  <w:t>学生参加相关技能竞赛获得地市（厅）级二等奖以上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2个或者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国赛二等奖及以上项目1个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学生、家长、社会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评价材料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②学校取得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州、市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级以上的各项荣誉称号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③用人单位对学生的综合评价证明材料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学校对外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相关培训资料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学生在相关竞赛中的获奖情况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5-2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办学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成效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①学校实行毕业证书和职业资格证书“双证书”制度，职业资格证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书取证率（中级工）达90%以上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65" w:hanging="565" w:hangingChars="25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②连续两年学生一次性毕业率达到95%以上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③连续两年学生一次性就业率达到90%以上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专业对口稳定就业率达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到70%以上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①近三年学生参加职业资格证鉴定情况登记表、统计表等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②近三年学生毕业、就业情况登记表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③近三年学校与用人单位就业协议资料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5-3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教学质量提升机制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①开展了生源状况调查分析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②建立了毕业生质量跟踪调查机制，运行良好，反馈及时、准确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③有针对性地制定并实施教学质量提升方案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①生源状况调查分析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报告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近三年的毕业生调查报告。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根据调查报告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实施教学质量提升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的具体实施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材料。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5-4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教学质量保障机制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①有健全的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校级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教学督导机构，会同专业负责人共同实施专业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人才培养质量监督过程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②强化教学过程管理、教学质量管理，相关制度规范，执行效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果好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教学督导组织机构及人员花名册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②教学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督导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管理文件，管理制度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③教学质量管理过程相关资料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5-5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教学档案与教学文件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专业教学基本文件和教学管理档案保存齐备，分类清晰、客观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pacing w:val="-10"/>
                <w:sz w:val="24"/>
                <w:szCs w:val="24"/>
                <w:highlight w:val="none"/>
              </w:rPr>
              <w:t>①查</w:t>
            </w:r>
            <w:r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</w:rPr>
              <w:t>档案管理制度</w:t>
            </w:r>
            <w:r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pacing w:val="-1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</w:rPr>
              <w:t>教学文字档案及电子档案的收集、整理、分类、归档、保管规范，符合标准</w:t>
            </w:r>
            <w:r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</w:rPr>
              <w:cr/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5分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组织机构与政策支持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①有重点专业建设的相关扶持政策，并认真执行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②成立了以行业企业专家和学校有关人员共同组成的专业建设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指导委员会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专业建设指导委员会积极参与人才培养方案的制订，并参与专业建设的全过程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学校支持鼓励重点专业建设的政策措施方案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专业建设指导委员会章程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成立文件及活动资料（照片、视频）、会议记录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委员会指导专业建设设的活动资料（照片、视频）、会议记录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6-2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资金投入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计划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设立了重点专业建设专项经费，经费投入符合专业建设要求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建设经费使用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情况相关材料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示范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7-1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与创新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①毕业生在职业道德与素养、知识与能力结构等方面有独到之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处，在行业、专业领域得到广泛认可，具有较高的知名度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②在人才培养途径、手段和方式、教学设计、课程体系、知识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和技能的结构设计上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等方面有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新颖性和独到之处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③专业带头人及教学团队具有打造本专业教学质量和特色的创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新精神，初步形成了一支教学名师队伍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④在校企合作上有独创性，尤其重视学生通过参加生产实习参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与技术开发与创新等，获得职业能力与专业技术应用能力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</w:rPr>
              <w:t>重点专业申报表中所报的特色与创新点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专业带头人及教学团队打造本专业教学质量的相关资料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名师工作室相关材料。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</w:rPr>
              <w:t>校企合作模式与成效相关资料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具体的案例、事件的相关材料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示范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与引领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①申报专业成为区域内专业教学指导中心、实习实训中心、师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资培训中心、职业技能鉴定所（站）、行业或区域技能型人才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培训中心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②对同类专业在人才培养模式、专业建设、就业指导方面发挥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示范作用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</w:rPr>
              <w:t>专业扩展情况资质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</w:rPr>
              <w:t>专业培养评价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具体的案例、事件的相关材料。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6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总  分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bookmarkEnd w:id="0"/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2B167B74"/>
    <w:rsid w:val="3CF433A2"/>
    <w:rsid w:val="539C71C9"/>
    <w:rsid w:val="7AD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eastAsia="宋体" w:cs="Times New Roman"/>
      <w:sz w:val="21"/>
      <w:szCs w:val="24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2024-06-05T03:22:50Z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