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  <w:lang w:eastAsia="zh-CN"/>
        </w:rPr>
      </w:pPr>
      <w:bookmarkStart w:id="0" w:name="_Toc2091385427"/>
      <w:bookmarkStart w:id="1" w:name="_Toc953998734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  <w:lang w:eastAsia="zh-CN"/>
        </w:rPr>
        <w:t>“天池英才”引进计划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u w:val="none"/>
          <w:lang w:eastAsia="zh-CN"/>
        </w:rPr>
        <w:t>指南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u w:val="none"/>
          <w:lang w:val="en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sz w:val="32"/>
          <w:szCs w:val="32"/>
          <w:u w:val="none"/>
          <w:lang w:val="en" w:eastAsia="zh-CN"/>
        </w:rPr>
        <w:t>（2023年度第二批）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both"/>
        <w:textAlignment w:val="auto"/>
        <w:outlineLvl w:val="9"/>
        <w:rPr>
          <w:rFonts w:ascii="方正小标宋简体" w:hAnsi="Times New Roman" w:eastAsia="方正小标宋简体" w:cs="方正小标宋简体"/>
          <w:color w:val="auto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为全面贯彻落实《自治区党委 自治区人民政府关于加强和改进新时代人才工作的实施意见》（新党发〔2022〕8号）精神，按照自治区党委人才工作领导小组部署要求，经领导小组办公室批准，现决定实施2023年度第二批“天池英才”引进计划，申报指南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一、申报对象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“天池英才”引进计划下设领军人才、特聘专家、青年博士、急需紧缺专业人才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4个专项。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申报对象主要包括：尚未来疆工作和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</w:rPr>
        <w:t>20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</w:rPr>
        <w:t>年1月1日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以后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</w:rPr>
        <w:t>从疆外（海外）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eastAsia="zh-CN"/>
        </w:rPr>
        <w:t>全职或柔性来疆工作的高层次人才、急需紧缺专业人才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022年1月1日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毕业的疆内外应届博士（须在2023年7月底前取得博士学位）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</w:rPr>
        <w:t>20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</w:rPr>
        <w:t>年1月1日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eastAsia="zh-CN"/>
        </w:rPr>
        <w:t>后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出站留疆工作的博士后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申报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6"/>
          <w:kern w:val="0"/>
          <w:sz w:val="32"/>
          <w:szCs w:val="32"/>
          <w:u w:val="none"/>
          <w:lang w:eastAsia="zh-CN"/>
        </w:rPr>
        <w:t>对象须依托引才单位（用人单位）进行申报。引才单位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-6"/>
          <w:kern w:val="0"/>
          <w:sz w:val="32"/>
          <w:szCs w:val="32"/>
          <w:u w:val="none"/>
          <w:lang w:val="en-US" w:eastAsia="zh-CN"/>
        </w:rPr>
        <w:t>须为在疆内注册并具有独立法人资格的高校、科研院所或企事业单位（含在疆外设立的研发中心等“人才飞地”，中央驻疆单位等）。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u w:val="none"/>
          <w:lang w:val="en" w:eastAsia="zh-CN"/>
        </w:rPr>
        <w:t>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申报对象须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政治立场坚定，拥护党的领导，自觉维护祖国统一和民族团结，反对民族分裂，遵纪守法，能认真履行岗位职责，具有良好的学术道德和社会公德。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领军人才（全职引进）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分为创新领军人才、创业领军人才，须具备突破关键技术、支持重点产业发展、带动新兴学科能力的高层次人才。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</w:pPr>
      <w:r>
        <w:rPr>
          <w:rFonts w:ascii="Times New Roman" w:hAnsi="Times New Roman" w:eastAsia="方正仿宋_GBK" w:cs="方正仿宋_GBK"/>
          <w:b/>
          <w:bCs/>
          <w:color w:val="auto"/>
          <w:spacing w:val="0"/>
          <w:sz w:val="32"/>
          <w:szCs w:val="32"/>
          <w:u w:val="none"/>
        </w:rPr>
        <w:t>1．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kern w:val="0"/>
          <w:sz w:val="32"/>
          <w:szCs w:val="32"/>
          <w:u w:val="none"/>
        </w:rPr>
        <w:t>创新人才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kern w:val="0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一般应具有博士学位或高级职称，年龄原则上不超过55周岁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1968年1月1日以后出生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，有一定疆外（海外）工作经历，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到岗后须与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用人单位签订3年以上聘（任）用合同，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且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并符合下列条件之一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掌握核心技术，能够解决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自治区、兵团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重点产业发展中重大技术难题的专业技术人才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（2）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在国内外知名企业重要岗位任职，具有丰富企业经营管理经验的高层次管理人才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（3）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在国内外知名高校、科研院所、科研创新平台等承担科研攻关项目，取得突出研究成果的学术（技术）带头人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（4）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在国内外其他行业从事自然科学、工程技术、社会科学领域研究，具有较高学术（技术）水平和实践经验的专业人才。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ascii="Times New Roman" w:hAnsi="Times New Roman" w:eastAsia="方正仿宋_GBK" w:cs="方正仿宋_GBK"/>
          <w:b/>
          <w:bCs/>
          <w:color w:val="auto"/>
          <w:spacing w:val="0"/>
          <w:sz w:val="32"/>
          <w:szCs w:val="32"/>
          <w:u w:val="none"/>
        </w:rPr>
        <w:t>．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kern w:val="0"/>
          <w:sz w:val="32"/>
          <w:szCs w:val="32"/>
          <w:u w:val="none"/>
        </w:rPr>
        <w:t>创业人才</w:t>
      </w:r>
      <w:r>
        <w:rPr>
          <w:rFonts w:hint="eastAsia" w:ascii="Times New Roman" w:hAnsi="Times New Roman" w:eastAsia="仿宋_GB2312" w:cs="仿宋_GB2312"/>
          <w:b/>
          <w:bCs/>
          <w:color w:val="auto"/>
          <w:spacing w:val="0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一般应具备以下条件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拥有自主知识产权，产品具有核心技术且处于中试或产业化阶段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申报人为企业主要创办人且为企业第一大股东或最大自然人股东，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来疆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领办创办企业满1年且不超过5年（1家企业只能申报1人）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具有所创业领域相应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专业素养，有一定疆外（海外）工作经历。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color w:val="auto"/>
          <w:spacing w:val="0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特聘专家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（柔性引进）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应具有深厚学术造诣、为同行公认的学科带头人、博士生导师、卓越工程师等专家人才；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一般应具有博士学位、正高级专业技术职称，年龄不超过65周岁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1958年1月1日以后出生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）；已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与用人单位签订3年以上工作合同、每年在疆服务时间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原则上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不少于120天，并符合下列条件之一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</w:rPr>
        <w:t>1．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依托新疆重点产业、重点学科、重大创新平台，作为主要负责人，承担国家、自治区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、兵团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重大科研项目或企业技术攻关项目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在专业领域曾获得省部级二等奖以上奖励，或主持过省部级以上重点科研、工程项目，或拥有具有重大产业化前景的技术发明、专利、专有技术等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（南疆可适当放宽条件）；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在国内外学术技术、企业界具有较高威望，为某一行业领域的开拓者、奠基人，或对某一领域的发展有过重大贡献，为业内普遍认可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新疆特别急需紧缺，或具有特殊专长。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/>
          <w:bCs/>
          <w:color w:val="auto"/>
          <w:spacing w:val="0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青年博士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（全职引进）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从事专业技术工作，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能够承担经济社会发展所需的科研或实践项目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具有较好发展潜力和独立创新能力的青年博士和博士后。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一般年龄不超过40周岁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1983年1月1日以后出生，南疆可适当放宽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，除在站博士后以外，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到岗后须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与用人单位签订不少于5年的工作合同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。具体包括：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</w:rPr>
        <w:t>引进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前已取得博士学位、在疆外工作；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疆内外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</w:rPr>
        <w:t>高等院校、科研院所应届博士毕业生（不含新疆用人单位派出的在职博士）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</w:rPr>
        <w:t>新出站留疆工作的博士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后（在站时间一般不超过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急需紧缺专业人才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（全职引进）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主要针对行业部门需要的特殊人才进行全职引进。申报对象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一般应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具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有一定疆外（海外）工作经历，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到岗后须与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用人单位签订3年以上聘（任）用合同，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且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具备以下条件之一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具备承担用人单位专业工作所需的学识水平、专业特长等，能够解决用人单位迫切需要解决的技术难题，或能够产生明显经济社会效益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</w:rPr>
        <w:t>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具备精湛实践性技术技能，水平在行业内得到认可，有绝技绝活和独特专长。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用人单位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须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根据本单位事业发展需要和人才需求，经党委（党组）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等会议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研究，制定急需紧缺专业人才引进方案，按需设定年龄、学历、工作年限、专业职务、业绩成果等资格条件，提出经费支持需求。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三、申报程序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eastAsia="zh-CN"/>
        </w:rPr>
        <w:t>“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天池英才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eastAsia="zh-CN"/>
        </w:rPr>
        <w:t>”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引进计划申报工作全程在网上进行。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  <w:lang w:val="en-US" w:eastAsia="zh-CN"/>
        </w:rPr>
        <w:t>（一）发布指南。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自治区人社厅会同兵团人社局制定申报指南，经自治区党委人才工作领导小组办公室审定后，在自治区、兵团有关媒体和平台公开发布。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  <w:lang w:eastAsia="zh-CN"/>
        </w:rPr>
        <w:t>（二）个人</w:t>
      </w: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  <w:lang w:val="en-US" w:eastAsia="zh-CN"/>
        </w:rPr>
        <w:t>申报</w:t>
      </w: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eastAsia="zh-CN"/>
        </w:rPr>
        <w:t>申报人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</w:rPr>
        <w:t>登录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新疆专技平台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（www.xjzcsq.com）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注册账号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eastAsia="zh-CN"/>
        </w:rPr>
        <w:t>，在“自治区天池英才引进计划人选申报”模块填写个人申报信息，提交至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引才单位。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（三）单位审核。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引才单位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登录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eastAsia="zh-CN"/>
        </w:rPr>
        <w:t>新疆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专技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eastAsia="zh-CN"/>
        </w:rPr>
        <w:t>平台单位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账号（无账号可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先注册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对本单位申报人提交的材料进行审核。审核通过后，填写引进人选工作目标任务（承担的创新创业项目）、经费预算及使用计划等相关内容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eastAsia="zh-CN"/>
        </w:rPr>
        <w:t>。完成信息填报后，由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引才单位从系统生成并导出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eastAsia="zh-CN"/>
        </w:rPr>
        <w:t>《自治区“天池英才”引进计划申报书》填写审核意见并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签字盖章，将签字盖章页扫描上传后提交至主管部门。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申报项目属于科研项目的，须按照《新疆维吾尔自治区科技计划项目管理办法实施细则（暂行）》（新科规〔2022〕1号）《新疆维吾尔自治区财政科研项目资金管理办法》（新财规〔2022〕8号）要求进行申报。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</w:rPr>
        <w:t>（</w:t>
      </w: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  <w:lang w:val="en-US" w:eastAsia="zh-CN"/>
        </w:rPr>
        <w:t>四</w:t>
      </w: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</w:rPr>
        <w:t>）</w:t>
      </w: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  <w:lang w:eastAsia="zh-CN"/>
        </w:rPr>
        <w:t>主管部门推荐</w:t>
      </w: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</w:rPr>
        <w:t>。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</w:rPr>
        <w:t>各地州市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人社局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</w:rPr>
        <w:t>、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自治区直属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</w:rPr>
        <w:t>单位、中央驻疆单位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、兵团人社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</w:rPr>
        <w:t>局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登录新疆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专技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平台单位账号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（无账号可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先注册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，对所属引才单位提交的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网上申报材料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进行复审，核查申报人在岗在位情况。确定推荐人选后，下载打印引才单位上传的签章扫描页，填写推荐意见并签字盖章，将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签字盖章页于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2023年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u w:val="none"/>
        </w:rPr>
        <w:t>∶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kern w:val="0"/>
          <w:sz w:val="32"/>
          <w:szCs w:val="32"/>
          <w:u w:val="none"/>
          <w:lang w:val="en-US" w:eastAsia="zh-CN" w:bidi="ar-SA"/>
        </w:rPr>
        <w:t>00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u w:val="none"/>
          <w:lang w:eastAsia="zh-CN"/>
        </w:rPr>
        <w:t>前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扫描上传后提交至自治区人社厅留学人员和专家服务中心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</w:rPr>
      </w:pP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highlight w:val="none"/>
          <w:u w:val="none"/>
        </w:rPr>
        <w:t>）</w:t>
      </w: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highlight w:val="none"/>
          <w:u w:val="none"/>
          <w:lang w:eastAsia="zh-CN"/>
        </w:rPr>
        <w:t>专家</w:t>
      </w: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highlight w:val="none"/>
          <w:u w:val="none"/>
        </w:rPr>
        <w:t>评审。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自治区人社厅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eastAsia="zh-CN"/>
        </w:rPr>
        <w:t>对主管部门推荐的个人进行资格审查，并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会同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兵团人社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</w:rPr>
        <w:t>局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组织行业领域专家对符合条件的人选能力素质、承担任务、经费资助标准进行综合评审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</w:pP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</w:rPr>
        <w:t>（</w:t>
      </w: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  <w:lang w:val="en-US" w:eastAsia="zh-CN"/>
        </w:rPr>
        <w:t>六</w:t>
      </w: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</w:rPr>
        <w:t>）</w:t>
      </w:r>
      <w:r>
        <w:rPr>
          <w:rFonts w:hint="eastAsia" w:ascii="楷体_GB2312" w:hAnsi="Times New Roman" w:eastAsia="楷体_GB2312" w:cs="楷体_GB2312"/>
          <w:color w:val="auto"/>
          <w:spacing w:val="0"/>
          <w:sz w:val="32"/>
          <w:szCs w:val="32"/>
          <w:u w:val="none"/>
          <w:lang w:eastAsia="zh-CN"/>
        </w:rPr>
        <w:t>人选确定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自治区人社厅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根据专家评审结果，研究提出建议入选人员名单和建议经费资助额度，在一定范围内公示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5个工作日无异议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后，报自治区党委人才工作领导小组办公室。领导小组办公室组织审核并报领导小组同意后，印发入选通知，会同财政部门按程序拨付支持资金。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四、支持措施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（一）对入选的引进人才给予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一次性生活补助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和科研（项目）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经费资助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，由新疆人才发展基金予以保障，资助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额度根据项目实际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结合专家评审意见确定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，连续支持3年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（在站博士后为2年）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，分年度拨付。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其中：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领军人才每人可给予50万元一次性生活补助和每年最高100万元的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科研（项目）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经费资助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特聘专家每人每年最高可给予30万元生活补助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青年博士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（含在站博士后）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和急需紧缺专业人才每人可给予20万元一次性生活补助和每年最高30万元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科研（项目）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经费资助。用人单位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一般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应给予配套经费支持。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（二）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一次性生活补助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原则上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一次性发放，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</w:rPr>
        <w:t>作为政府奖金、按规定免征个人所得税。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特聘专家生活补助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由用人单位按照合同约定可按月或季度发放。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（三）科研（项目）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经费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资助的70%用于完成项目申报书中所填报的自选项目，由引进人才自主支配使用，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主要用于支持引进人才承担重大项目、研究自主课题、攻关关键技术、转化科技成果、开展学术交流等创新创业活动，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属于科研项目的须按《新疆维吾尔自治区财政科研项目资金管理办法》（新财规〔2022〕8号）规定执行；科研（项目）资助经费的30%用于个人生活补助，原则上一次性发放，作为政府奖金、按规定免征个人所得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（四）引才单位（用人单位）须与引进人才签订任务书，落实目标任务及可量化的绩效指标要求，建立引进人才档案，严格组织实施，并在科研条件、资源共享、培训交流和后勤保障等方面给予支持。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五、相关要求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一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高校引进的特聘专家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单列名额、单设通道，由自治区教育厅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会同兵团教育局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确定学科方向、汇总申报人选、组织专家评审，召开党组会议研究提出初步人选，报自治区人社厅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统一汇总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）入选人才经到岗核查后，由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财政部门将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一次性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生活补助和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科研（项目）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资助经费拨付至引进人才用人单位。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一次性生活补助要尽快拨付到位，科研（项目）资助经费要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单独建账、专款专用，不得截留挪用，不得提取管理费。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引进人才支持期内原则上不得转换工作单位，确需工作调动且新单位为区内单位的，报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请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自治区党委人才工作领导小组办公室批准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，可将项目任务书和剩余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资助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经费转至新单位继续执行。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eastAsia="zh-CN"/>
        </w:rPr>
        <w:t>（四）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申报人只能通过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1家用人单位申报1个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引进</w:t>
      </w:r>
      <w:r>
        <w:rPr>
          <w:rFonts w:hint="eastAsia" w:ascii="仿宋_GB2312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人才项目，不允许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eastAsia="zh-CN"/>
        </w:rPr>
        <w:t>多头申报、重复申报。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</w:rPr>
        <w:t>联系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eastAsia="zh-CN"/>
        </w:rPr>
        <w:t>方式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</w:rPr>
        <w:t>：自治区人社厅留学人员和专家服务中心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eastAsia="zh-CN"/>
        </w:rPr>
        <w:t>苏耀杰</w:t>
      </w:r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</w:rPr>
        <w:t>0991</w:t>
      </w:r>
      <w:r>
        <w:rPr>
          <w:rFonts w:hint="default" w:ascii="Arial" w:hAnsi="Arial" w:eastAsia="仿宋_GB2312" w:cs="Arial"/>
          <w:color w:val="auto"/>
          <w:sz w:val="32"/>
          <w:szCs w:val="32"/>
          <w:u w:val="none"/>
          <w:lang w:val="en-US" w:eastAsia="zh-CN"/>
        </w:rPr>
        <w:t>－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</w:rPr>
        <w:t>3689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921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18899528560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 xml:space="preserve">          申  琦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</w:rPr>
        <w:t>0991</w:t>
      </w:r>
      <w:r>
        <w:rPr>
          <w:rFonts w:hint="default" w:ascii="Arial" w:hAnsi="Arial" w:eastAsia="仿宋_GB2312" w:cs="Arial"/>
          <w:color w:val="auto"/>
          <w:sz w:val="32"/>
          <w:szCs w:val="32"/>
          <w:u w:val="none"/>
          <w:lang w:val="en-US" w:eastAsia="zh-CN"/>
        </w:rPr>
        <w:t>－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3689759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18799810618</w:t>
      </w:r>
    </w:p>
    <w:p>
      <w:r>
        <w:rPr>
          <w:rFonts w:hint="eastAsia" w:ascii="仿宋_GB2312" w:hAnsi="Times New Roman" w:eastAsia="仿宋_GB2312" w:cs="仿宋_GB2312"/>
          <w:color w:val="auto"/>
          <w:spacing w:val="0"/>
          <w:sz w:val="32"/>
          <w:szCs w:val="32"/>
          <w:u w:val="none"/>
          <w:lang w:val="en-US" w:eastAsia="zh-CN"/>
        </w:rPr>
        <w:t>网上申报系统技术支持电话：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/>
          <w:lang w:val="en-US" w:eastAsia="zh-CN"/>
        </w:rPr>
        <w:t>13565409505</w:t>
      </w:r>
      <w:bookmarkStart w:id="2" w:name="_GoBack"/>
      <w:bookmarkEnd w:id="2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小隶书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F7205"/>
    <w:rsid w:val="2DC8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460" w:lineRule="exact"/>
      <w:ind w:firstLine="420"/>
    </w:pPr>
    <w:rPr>
      <w:rFonts w:ascii="Times New Roman" w:hAnsi="Times New Roman" w:cs="Times New Roman"/>
      <w:spacing w:val="14"/>
      <w:kern w:val="24"/>
      <w:sz w:val="24"/>
      <w:szCs w:val="24"/>
    </w:rPr>
  </w:style>
  <w:style w:type="paragraph" w:styleId="3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4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2023-05-18T10:31:57Z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