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CESI黑体-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黑体-GB2312" w:cs="Times New Roman"/>
          <w:kern w:val="0"/>
          <w:sz w:val="32"/>
          <w:szCs w:val="32"/>
          <w:lang w:val="en-US" w:eastAsia="zh-CN"/>
        </w:rPr>
        <w:t>附件２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kern w:val="0"/>
          <w:sz w:val="44"/>
          <w:szCs w:val="44"/>
          <w:lang w:val="en-US" w:eastAsia="zh-CN"/>
        </w:rPr>
        <w:t>优秀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lang w:val="en-US" w:eastAsia="zh-CN"/>
        </w:rPr>
        <w:t>组织奖获奖名单</w:t>
      </w: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tbl>
      <w:tblPr>
        <w:tblStyle w:val="2"/>
        <w:tblW w:w="83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44"/>
        <w:gridCol w:w="67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喀什地区人力资源和社会保障局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和田地区人力资源和社会保障局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伊犁州人力资源和社会保障局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阿克苏地区人力资源和社会保障局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塔城地区人力资源和社会保障局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伊犁技师培训学院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喀什技师学院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和田技师学院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新疆建设技师培训学院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新疆中泰高级技工学校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新疆煤炭技师学院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阿克苏工业技师学院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乌苏市技工学校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叶城县技工学校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疏附县技工学校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A459C2"/>
    <w:rsid w:val="40A4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2025-11-19T09:24:00Z</dcterms:created>
  <dc:creator>浅笑</dc:creator>
  <cp:lastModifiedBy>浅笑</cp:lastModifiedBy>
  <dcterms:modified xsi:type="dcterms:W3CDTF">2025-11-19T09:25:03Z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