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2023年职业技能竞赛总结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  <w:t>一、基本情况。办赛和参赛情况，包括参赛项目、参赛人数、获奖人数、获奖等级、取证人数等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  <w:t>二、本地区、本单位、本部门落实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《新疆维吾尔自治区职业技能竞赛奖励办法（试行）》，</w:t>
      </w: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  <w:t>对于技能大赛表彰、奖励等情况。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  <w:t>三、参赛或组织竞赛好的经验和做法。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  <w:t>四、参赛或组织竞赛存在的问题和建议。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  <w:t>五、2023年职业技能竞赛计划安排。</w:t>
      </w:r>
    </w:p>
    <w:p>
      <w:pPr>
        <w:pStyle w:val="6"/>
        <w:rPr>
          <w:rFonts w:hint="eastAsia" w:ascii="仿宋_GB2312"/>
          <w:b/>
          <w:bCs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15E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1"/>
    <w:basedOn w:val="5"/>
    <w:qFormat/>
    <w:uiPriority w:val="0"/>
    <w:pPr>
      <w:ind w:firstLine="420" w:firstLineChars="200"/>
    </w:pPr>
  </w:style>
  <w:style w:type="paragraph" w:customStyle="1" w:styleId="5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2023-03-09T05:19:17Z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