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320" w:firstLineChars="100"/>
        <w:rPr>
          <w:rFonts w:hint="eastAsia" w:ascii="黑体" w:hAnsi="黑体" w:eastAsia="黑体" w:cs="黑体"/>
          <w:bCs/>
          <w:color w:val="000000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2022年金秋招聘月活动情况统计表</w:t>
      </w:r>
      <w:bookmarkEnd w:id="0"/>
    </w:p>
    <w:tbl>
      <w:tblPr>
        <w:tblStyle w:val="4"/>
        <w:tblW w:w="85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1"/>
        <w:gridCol w:w="20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30"/>
                <w:szCs w:val="30"/>
              </w:rPr>
              <w:t>地（州、市）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项　　目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数　　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1.参加招聘月的企业数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其中：民营企业数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国有企业数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煤炭电力企业数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退役军人企业数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提供岗位信息数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其中：面向高校毕业生的岗位数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面向退役军人的岗位数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面向登记失业人员的岗位数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面向农民工的岗位数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3.举办招聘活动次数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其中：针对高校毕业生的场次数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针对退役军人的场次数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针对登记失业人员的场次数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    针对农民工的场次数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针对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煤电电力行业场次数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4.签订就业（意向）协议人数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其中：高校毕业生人数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高校毕业生人数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（其中属于困难家庭子女）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退役军人人数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登记失业人员人数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  农民工人数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1050" w:firstLineChars="500"/>
              <w:textAlignment w:val="auto"/>
              <w:outlineLvl w:val="9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煤电电力行业人数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国有企业人数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5.维权及法律援助人次数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6.发放就业政策等宣传材料份数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280" w:firstLineChars="100"/>
        <w:textAlignment w:val="auto"/>
        <w:rPr>
          <w:rFonts w:hint="eastAsia" w:ascii="Times New Roman" w:hAnsi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color w:val="000000"/>
          <w:kern w:val="0"/>
          <w:sz w:val="28"/>
          <w:szCs w:val="28"/>
        </w:rPr>
        <w:t xml:space="preserve">联系人：           </w:t>
      </w:r>
      <w:r>
        <w:rPr>
          <w:rFonts w:hint="eastAsia" w:ascii="Times New Roman" w:hAnsi="Times New Roman"/>
          <w:color w:val="000000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Times New Roman" w:hAnsi="Times New Roman"/>
          <w:color w:val="000000"/>
          <w:kern w:val="0"/>
          <w:sz w:val="28"/>
          <w:szCs w:val="28"/>
        </w:rPr>
        <w:t xml:space="preserve"> 联系方式：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pacing w:val="-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560070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0pt;margin-top:28.1pt;height:0pt;width:441pt;z-index:251662336;mso-width-relative:page;mso-height-relative:page;" filled="f" stroked="t" coordsize="21600,21600" o:gfxdata="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6Dbn/dIAAAAGAQAADwAAAAAAAAABACAAAAAiAAAAZHJz&#10;L2Rvd25yZXYueG1sUEsBAhQAFAAAAAgAh07iQABiV/vRAQAAnAMAAA4AAAAAAAAAAQAgAAAAIQEA&#10;AGRycy9lMm9Eb2MueG1sUEsFBgAAAAAGAAYAWQEAAGQFAAAAAA==&#10;">
                <v:path arrowok="t"/>
                <v:fill on="f" focussize="0,0"/>
                <v:stroke weight="1.5pt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D6E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2022-09-17T12:33:42Z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