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“住院伙食补助费申领”办事指南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自然人,企业法人,事业法人,社会组织法人,非法人企业,行政机关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经社会保险行政部门认定符合享受工伤保险待遇且发生工伤医疗、康复费的工伤职工或其参保单位。发生工伤医疗、康复费用的破产单位老工伤人员。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八、材料清单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796"/>
        <w:gridCol w:w="2170"/>
        <w:gridCol w:w="267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材料名称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必要性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类型及份数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参保人社会保障卡或有效身份证件</w:t>
            </w: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必要</w:t>
            </w:r>
          </w:p>
        </w:tc>
        <w:tc>
          <w:tcPr>
            <w:tcW w:w="26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原件1份</w:t>
            </w:r>
          </w:p>
        </w:tc>
        <w:tc>
          <w:tcPr>
            <w:tcW w:w="28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政府部门核发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2.审核：经办人员对政策符合性进行审核，符合政策的核定费用；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2.审核：经办人员对政策符合性进行审核，符合政策的核定费用；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问：如何申请住院伙食补助费？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答：住院伙食补助费实行免申即享，随医疗、康复住院费用一并支付。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第五章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工伤保险待遇审核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第二节 医疗待遇审核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六十一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工伤职工住院治疗的，经办机构根据自治区规定的伙食补助费标准及工伤职工的住院天数，核定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住院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伙食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补助费，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伙食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补助费执行免申即享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工伤职工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地（州、市）以外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u w:val="none"/>
        </w:rPr>
        <w:t>住院治疗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参保地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经办机构根据自治区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规定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的交通、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住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</w:rPr>
        <w:t>宿费标准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核定交通、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C061FF6"/>
    <w:rsid w:val="1C4058D3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9458FA"/>
    <w:rsid w:val="2AD61A9F"/>
    <w:rsid w:val="2CFD76E1"/>
    <w:rsid w:val="2D400B9B"/>
    <w:rsid w:val="2FB92AA1"/>
    <w:rsid w:val="306F3AF7"/>
    <w:rsid w:val="31EE3776"/>
    <w:rsid w:val="324F5D9C"/>
    <w:rsid w:val="32642B16"/>
    <w:rsid w:val="348A210B"/>
    <w:rsid w:val="36605BC1"/>
    <w:rsid w:val="37A6279B"/>
    <w:rsid w:val="37DA64A0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