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“工伤保险待遇变更”办事指南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服务对象：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自然人,企业法人,事业法人,社会组织法人,非法人企业,行政机关,其他组织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受理条件：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符合下列情形之一的工伤人员或其参保单位或其供养亲属： 1.经劳动能力鉴定委员会评定伤残等级后，调整伤残等级、生活护理等级的； 2.拒不接受劳动能力鉴定的、拒绝治疗等丧失工伤保险待遇领取资格的； 3.对待遇享受资格停止后又具备享受资格的； 4.供养亲属人数增加或减少的。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承诺办结时间（工作日）：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个工作日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收费标准：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办理时间: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周一至周五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双休及国家法定节假日除外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夏季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全天 10:30:00至18:30:00 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冬季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全天 10:30:00至18:30:00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服务方式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方式一（窗口办）：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益民大厦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乌鲁木齐市水磨沟区苇湖梁街道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三楼A区41号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方式二（网上办）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新疆政务服务网（https//zwfw.xinjiang.gov.cn/）/“新服办”APP或“新疆智慧人社小程序”。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七、咨询方式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咨询电话：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0991-3828956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</w:rPr>
        <w:t>0991-3689115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监督电话：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0991-12333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材料清单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线上流程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1.受理：经办人员对材料完整性及受理条件符合性进行审核；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2.审核：经办人员对政策符合性进行审核，符合政策的变更待遇；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3.办结：符合条件的，予以办结并反馈结果。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（二）线下流程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1.受理：经办人员对材料完整性及受理条件符合性进行审核；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2.审核：经办人员对政策符合性进行审核，符合政策的变更待遇；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3.办结：符合条件的，予以办结并反馈结果。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十、常见问题及相关政策宣传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问：对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待遇享受资格停止后又具备享受资格的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，停止期间待遇是否可以补发？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对待遇享受资格停止后又具备享受资格的，经办机构审核用人单位、工伤职工或供养亲属提供的相关资料，自符合条件的次月起支付其工伤待遇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，停止支付的工伤保险待遇不予补发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关于印发新疆维吾尔自治区工伤保险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经办规程的通知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新人社办发〔20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第六章 工伤保险待遇和专项费用支付</w:t>
      </w:r>
    </w:p>
    <w:p>
      <w:pPr>
        <w:pStyle w:val="4"/>
        <w:pageBreakBefore w:val="0"/>
        <w:kinsoku/>
        <w:wordWrap/>
        <w:overflowPunct/>
        <w:topLinePunct w:val="0"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ascii="楷体_GB2312" w:hAnsi="楷体_GB2312" w:eastAsia="楷体_GB2312" w:cs="楷体_GB2312"/>
          <w:b w:val="0"/>
          <w:bCs/>
          <w:color w:val="000000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u w:val="none"/>
        </w:rPr>
        <w:t>第三节 工伤保险待遇调整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八十八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根据工伤保险待遇调整政策，经办机构对工伤职工或供养亲属的工伤保险待遇统一进行调整，并建立待遇调整台账。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八十九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工伤职工或供养亲属不再具备享受工伤保险待遇的条件，工伤职工拒不接受劳动能力鉴定或拒绝治疗的，经办机构停止支付工伤保险待遇。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对待遇享受资格停止后又具备享受资格的，经办机构审核用人单位、工伤职工或供养亲属提供的相关资料，自符合条件的次月起支付其工伤待遇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，停止支付的工伤保险待遇不予补发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第九十条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用人单位、工伤职工或近亲属、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协议机构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对工伤保险待遇核定金额有异议提出复核的，经办机构应进行复核，确需调整的，予以调整。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F02F9"/>
    <w:multiLevelType w:val="singleLevel"/>
    <w:tmpl w:val="955F02F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A35F2"/>
    <w:multiLevelType w:val="singleLevel"/>
    <w:tmpl w:val="DFEA35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C9636F"/>
    <w:multiLevelType w:val="singleLevel"/>
    <w:tmpl w:val="45C963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8C3DC6"/>
    <w:multiLevelType w:val="singleLevel"/>
    <w:tmpl w:val="688C3DC6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6C8"/>
    <w:rsid w:val="017F1BE6"/>
    <w:rsid w:val="02DC7D1C"/>
    <w:rsid w:val="02DD23AA"/>
    <w:rsid w:val="0543192E"/>
    <w:rsid w:val="07EB7719"/>
    <w:rsid w:val="08475C97"/>
    <w:rsid w:val="084A66FA"/>
    <w:rsid w:val="097B5029"/>
    <w:rsid w:val="0AC47A34"/>
    <w:rsid w:val="0CB37195"/>
    <w:rsid w:val="0D267161"/>
    <w:rsid w:val="0DEC2CF6"/>
    <w:rsid w:val="0DF10CC6"/>
    <w:rsid w:val="0E90488D"/>
    <w:rsid w:val="118C227E"/>
    <w:rsid w:val="12041E4B"/>
    <w:rsid w:val="125E127E"/>
    <w:rsid w:val="156D6C9B"/>
    <w:rsid w:val="16016390"/>
    <w:rsid w:val="162838AD"/>
    <w:rsid w:val="1645697D"/>
    <w:rsid w:val="18AA124F"/>
    <w:rsid w:val="1A905D1F"/>
    <w:rsid w:val="1B2A0EEA"/>
    <w:rsid w:val="1BDD224E"/>
    <w:rsid w:val="1C061FF6"/>
    <w:rsid w:val="1C811320"/>
    <w:rsid w:val="1C821684"/>
    <w:rsid w:val="1D2B57A6"/>
    <w:rsid w:val="1F0328AE"/>
    <w:rsid w:val="1F3918AE"/>
    <w:rsid w:val="1FC85C82"/>
    <w:rsid w:val="232A0B9E"/>
    <w:rsid w:val="232F044B"/>
    <w:rsid w:val="25157D73"/>
    <w:rsid w:val="25951542"/>
    <w:rsid w:val="299458FA"/>
    <w:rsid w:val="2AD61A9F"/>
    <w:rsid w:val="2CFD76E1"/>
    <w:rsid w:val="2D400B9B"/>
    <w:rsid w:val="2F046A05"/>
    <w:rsid w:val="2FB92AA1"/>
    <w:rsid w:val="306F3AF7"/>
    <w:rsid w:val="31EE3776"/>
    <w:rsid w:val="324F5D9C"/>
    <w:rsid w:val="32642B16"/>
    <w:rsid w:val="348A210B"/>
    <w:rsid w:val="36605BC1"/>
    <w:rsid w:val="37A6279B"/>
    <w:rsid w:val="3B551814"/>
    <w:rsid w:val="3BA75122"/>
    <w:rsid w:val="3C250B7B"/>
    <w:rsid w:val="3C3C10DB"/>
    <w:rsid w:val="3DBF55E5"/>
    <w:rsid w:val="3EF13C48"/>
    <w:rsid w:val="3F7B31EF"/>
    <w:rsid w:val="3F92540F"/>
    <w:rsid w:val="405453C2"/>
    <w:rsid w:val="40797E36"/>
    <w:rsid w:val="41491181"/>
    <w:rsid w:val="41894859"/>
    <w:rsid w:val="424A6410"/>
    <w:rsid w:val="431245EF"/>
    <w:rsid w:val="44990369"/>
    <w:rsid w:val="44A660DF"/>
    <w:rsid w:val="45AC46CC"/>
    <w:rsid w:val="45E663F2"/>
    <w:rsid w:val="47777892"/>
    <w:rsid w:val="4880237A"/>
    <w:rsid w:val="488F2EB3"/>
    <w:rsid w:val="489D68BB"/>
    <w:rsid w:val="496E7A2D"/>
    <w:rsid w:val="4A1D3236"/>
    <w:rsid w:val="4C4128E9"/>
    <w:rsid w:val="4C852EE4"/>
    <w:rsid w:val="4D2A3094"/>
    <w:rsid w:val="4E7F301E"/>
    <w:rsid w:val="4EA82109"/>
    <w:rsid w:val="4EE960CF"/>
    <w:rsid w:val="4F346184"/>
    <w:rsid w:val="4FD105D8"/>
    <w:rsid w:val="515A7F3C"/>
    <w:rsid w:val="518F3A58"/>
    <w:rsid w:val="550B3C93"/>
    <w:rsid w:val="55233320"/>
    <w:rsid w:val="55453C0C"/>
    <w:rsid w:val="57650EAA"/>
    <w:rsid w:val="57DB5C33"/>
    <w:rsid w:val="59245079"/>
    <w:rsid w:val="5A8F3D6C"/>
    <w:rsid w:val="5CAF3642"/>
    <w:rsid w:val="5CE87E4C"/>
    <w:rsid w:val="5D2678DC"/>
    <w:rsid w:val="5D3F4508"/>
    <w:rsid w:val="5DE6030E"/>
    <w:rsid w:val="5E0D7DF4"/>
    <w:rsid w:val="5EA41C9D"/>
    <w:rsid w:val="5F191A89"/>
    <w:rsid w:val="5F1D7748"/>
    <w:rsid w:val="5FA4377A"/>
    <w:rsid w:val="5FB1D66D"/>
    <w:rsid w:val="607C1AEA"/>
    <w:rsid w:val="60BB2B4F"/>
    <w:rsid w:val="61151F00"/>
    <w:rsid w:val="62CB67FC"/>
    <w:rsid w:val="661D1DB1"/>
    <w:rsid w:val="663F4E40"/>
    <w:rsid w:val="68B37272"/>
    <w:rsid w:val="6A7E7ECA"/>
    <w:rsid w:val="6A9D70FF"/>
    <w:rsid w:val="6B2E52C2"/>
    <w:rsid w:val="6B7569FF"/>
    <w:rsid w:val="6CCB3DBF"/>
    <w:rsid w:val="6D5A3745"/>
    <w:rsid w:val="70E70D96"/>
    <w:rsid w:val="714F16A3"/>
    <w:rsid w:val="71733C3C"/>
    <w:rsid w:val="71D0428C"/>
    <w:rsid w:val="71FB701B"/>
    <w:rsid w:val="721C5DB4"/>
    <w:rsid w:val="72762E78"/>
    <w:rsid w:val="74542937"/>
    <w:rsid w:val="74BD0A6B"/>
    <w:rsid w:val="76706285"/>
    <w:rsid w:val="76981C0F"/>
    <w:rsid w:val="778A0FF9"/>
    <w:rsid w:val="77979856"/>
    <w:rsid w:val="77B7820D"/>
    <w:rsid w:val="780E4F6F"/>
    <w:rsid w:val="79831964"/>
    <w:rsid w:val="7A876F48"/>
    <w:rsid w:val="7BC7D1ED"/>
    <w:rsid w:val="7C8E27D8"/>
    <w:rsid w:val="7DF6550C"/>
    <w:rsid w:val="7FDDB22C"/>
    <w:rsid w:val="C2F80744"/>
    <w:rsid w:val="FEE3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2025-07-30T03:59:00Z</dcterms:created>
  <dc:creator>RST</dc:creator>
  <cp:lastModifiedBy>Administrator</cp:lastModifiedBy>
  <dcterms:modified xsi:type="dcterms:W3CDTF">2025-08-01T09:47:05Z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