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“工伤医疗（康复）费用申报”办事指南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企业法人,事业法人,社会组织法人,非法人企业,行政机关,其他组织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1.经社会保险行政部门认定符合享受工伤保险待遇且发生工伤医疗、康复费的工伤职工或其参保单位。 2.发生工伤医疗、康复费用的破产单位老工伤人员。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6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本人社会保障卡（含电子社保卡）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民事判决书或民事调解书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非必要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申报门诊费用的，应提供收费票据、收费明细清单、影像报告单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非必要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原件及复印件各1份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事故责任认定书、事故民事赔偿调解书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非必要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5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收费票据、收费明细清单、疾病诊断证明书、住院病历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非必要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原件及复印件各1份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6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医疗费用分割情况的辅助材料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非必要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7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遭受暴力伤害证明和赔偿证明材料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非必要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1.通过联网结算的，协议机构在系统内按月提交清算申请，系统推送至业务初审岗。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1.通过窗口办理的，综合柜员岗核对业务受理条件的符合性和提交材料的完整性，属于转诊转院或旧伤复发的，应在系统内核对备案信息：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a)符合受理条件且材料完整的，扫描材料，生成社会保险业务受理单（电子归档），经申领人签字扫描后交申请人留存，将受理信息和电子材料推送至业务初审岗；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b)不符合受理条件或材料不完整的，退回材料并一次性告知。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2.初审：业务初审岗初审联网结算和窗口业务的政策符合性和信息准确性：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a)符合政策的且信息无误的，核定工伤医疗、康复费用，将核定信息录入系统，推送至业务复核岗：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b)不符合政策或信息有误的，退回上一环节并注明原因。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3.复核：业务复核岗复核政策的符合性和费用金额的准确性：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a)符合政策规定且金额无误的，复核通过，生成《工伤保险待遇核定单》（电子归档，主件）；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b)不符合政策或金额有误的，退回上一环节并注明原因。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问：工伤保险可以报销哪些医疗（康复）费用？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答：治疗工伤所需费用符合工伤保险诊疗项目目录、工伤保险药品目录、工伤保险住院服务标准的，从工伤保险基金支付。工伤职工治疗非工伤引发的疾病，不享受工伤医疗待遇，按照基本医疗保险办法处理。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bookmarkStart w:id="0" w:name="_Toc89785122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工伤保险待遇审核</w:t>
      </w:r>
      <w:bookmarkEnd w:id="0"/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第二节 医疗待遇审核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第五十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工伤医疗费用实行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的直接联网结算。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工伤职工持社会保障卡等身份证件到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就诊并直接联网结算后，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按照服务协议传送工伤职工的费用明细清单、就医信息等结算信息，经办机构根据规定进行网上审核。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第五十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未实现直接联网结算的，由用人单位或工伤职工向经办机构提供医疗机构的收费票据、费用清单、诊断证明、病历资料等，申报医疗费。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居住异地的工伤职工在居住地就医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或批准到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异地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就医的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val="en-US" w:eastAsia="zh-CN"/>
        </w:rPr>
        <w:t>工伤职工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，经办机构通过信息系统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异地居住就医申请信息或转诊转院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信息进行核对。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第六十条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经办机构审核医疗费的内容主要包括：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（一）各项用药、检查、治疗是否与工伤部位、职业病病情相符；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（二）是否符合工伤保险诊疗项目目录、工伤保险药品目录、工伤保险住院服务标准的规定。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工伤职工住院治疗的，经办机构根据自治区规定的伙食补助费标准及工伤职工的住院天数，核定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住院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伙食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补助费，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伙食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补助费执行免申即享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地（州、市）以外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u w:val="none"/>
        </w:rPr>
        <w:t>住院治疗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参保地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经办机构根据自治区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规定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的交通、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住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宿费标准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核定交通、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第三节 康复待遇审核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工伤职工持社会保障卡等身份证件到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进行康复并直接联网结算后，工伤保险协议机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构按照服务协议传送工伤职工的费用明细清单、就医信息等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结算信息，经办机构根据规定进行网上审核。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未实现直接联网结算的，由用人单位或工伤职工向经办机构提供协议机构的收费票据、费用清单、诊断证明、病历资料等，申报康复费用。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经办机构审核工伤康复费的内容主要包括：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（一）工伤职工康复方案是否完整齐全；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（二）各项检查、康复治疗是否与工伤部位、职业病病情相符；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（三）是否符合工伤保险诊疗项目目录、工伤保险药品目录、工伤保险住院服务标准的规定；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（四）是否符合工伤康复诊疗规范和工伤康复服务项目的规定。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959288"/>
    <w:multiLevelType w:val="singleLevel"/>
    <w:tmpl w:val="F6959288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1347CA"/>
    <w:rsid w:val="02DC7D1C"/>
    <w:rsid w:val="02DD23AA"/>
    <w:rsid w:val="0543192E"/>
    <w:rsid w:val="058225DA"/>
    <w:rsid w:val="07EB7719"/>
    <w:rsid w:val="08475C97"/>
    <w:rsid w:val="084A66FA"/>
    <w:rsid w:val="097B5029"/>
    <w:rsid w:val="09AE0646"/>
    <w:rsid w:val="0AC47A34"/>
    <w:rsid w:val="0CB37195"/>
    <w:rsid w:val="0D267161"/>
    <w:rsid w:val="0DEC2CF6"/>
    <w:rsid w:val="0DF10CC6"/>
    <w:rsid w:val="0E90488D"/>
    <w:rsid w:val="114D12AF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0D07CB5"/>
    <w:rsid w:val="22B13767"/>
    <w:rsid w:val="232A0B9E"/>
    <w:rsid w:val="232F044B"/>
    <w:rsid w:val="23E517D4"/>
    <w:rsid w:val="24712AD0"/>
    <w:rsid w:val="25157D73"/>
    <w:rsid w:val="25951542"/>
    <w:rsid w:val="299458FA"/>
    <w:rsid w:val="2AD61A9F"/>
    <w:rsid w:val="2CFD76E1"/>
    <w:rsid w:val="2D400B9B"/>
    <w:rsid w:val="2DDC61AA"/>
    <w:rsid w:val="2FB92AA1"/>
    <w:rsid w:val="306F3AF7"/>
    <w:rsid w:val="31EE3776"/>
    <w:rsid w:val="324F5D9C"/>
    <w:rsid w:val="32642B16"/>
    <w:rsid w:val="342555B0"/>
    <w:rsid w:val="348A210B"/>
    <w:rsid w:val="34BF7F2A"/>
    <w:rsid w:val="36605BC1"/>
    <w:rsid w:val="37A6279B"/>
    <w:rsid w:val="38394192"/>
    <w:rsid w:val="3B551814"/>
    <w:rsid w:val="3BA75122"/>
    <w:rsid w:val="3C250B7B"/>
    <w:rsid w:val="3C3C10DB"/>
    <w:rsid w:val="3DBF55E5"/>
    <w:rsid w:val="3EF13C48"/>
    <w:rsid w:val="3F076187"/>
    <w:rsid w:val="3F7B31EF"/>
    <w:rsid w:val="3F92540F"/>
    <w:rsid w:val="405453C2"/>
    <w:rsid w:val="4068250E"/>
    <w:rsid w:val="40797E36"/>
    <w:rsid w:val="41491181"/>
    <w:rsid w:val="41894859"/>
    <w:rsid w:val="424A6410"/>
    <w:rsid w:val="431245EF"/>
    <w:rsid w:val="44990369"/>
    <w:rsid w:val="44A660DF"/>
    <w:rsid w:val="44D10C3A"/>
    <w:rsid w:val="45AC46CC"/>
    <w:rsid w:val="45E663F2"/>
    <w:rsid w:val="45EB7529"/>
    <w:rsid w:val="47777892"/>
    <w:rsid w:val="4880237A"/>
    <w:rsid w:val="488F2EB3"/>
    <w:rsid w:val="489D68BB"/>
    <w:rsid w:val="48E61C41"/>
    <w:rsid w:val="496E7A2D"/>
    <w:rsid w:val="4A1D3236"/>
    <w:rsid w:val="4AA071C2"/>
    <w:rsid w:val="4C4128E9"/>
    <w:rsid w:val="4D2A3094"/>
    <w:rsid w:val="4E7F301E"/>
    <w:rsid w:val="4EA82109"/>
    <w:rsid w:val="4EE960CF"/>
    <w:rsid w:val="4F346184"/>
    <w:rsid w:val="4FB14B89"/>
    <w:rsid w:val="4FD105D8"/>
    <w:rsid w:val="515A7F3C"/>
    <w:rsid w:val="518F3A58"/>
    <w:rsid w:val="550B3C93"/>
    <w:rsid w:val="55233320"/>
    <w:rsid w:val="55453C0C"/>
    <w:rsid w:val="57650EAA"/>
    <w:rsid w:val="576C3E90"/>
    <w:rsid w:val="57DB5C33"/>
    <w:rsid w:val="5A8F3D6C"/>
    <w:rsid w:val="5B2F4FE7"/>
    <w:rsid w:val="5B9A38BD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5FE231E5"/>
    <w:rsid w:val="607C1AEA"/>
    <w:rsid w:val="60BB2B4F"/>
    <w:rsid w:val="61151F00"/>
    <w:rsid w:val="62CB67FC"/>
    <w:rsid w:val="65C86C70"/>
    <w:rsid w:val="661D1DB1"/>
    <w:rsid w:val="663F4E40"/>
    <w:rsid w:val="68B37272"/>
    <w:rsid w:val="6A6D336D"/>
    <w:rsid w:val="6A7E7ECA"/>
    <w:rsid w:val="6A9D70FF"/>
    <w:rsid w:val="6B2E52C2"/>
    <w:rsid w:val="6B7569FF"/>
    <w:rsid w:val="6CCB3DBF"/>
    <w:rsid w:val="6D5A3745"/>
    <w:rsid w:val="6F0A235C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52475F9"/>
    <w:rsid w:val="76706285"/>
    <w:rsid w:val="76981C0F"/>
    <w:rsid w:val="778A0FF9"/>
    <w:rsid w:val="77979856"/>
    <w:rsid w:val="77B7820D"/>
    <w:rsid w:val="780E4F6F"/>
    <w:rsid w:val="796134B0"/>
    <w:rsid w:val="79831964"/>
    <w:rsid w:val="7A876F48"/>
    <w:rsid w:val="7BC7D1ED"/>
    <w:rsid w:val="7C8E27D8"/>
    <w:rsid w:val="7CDE2E6E"/>
    <w:rsid w:val="7DF6550C"/>
    <w:rsid w:val="7FD30033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2025-08-01T09:13:26Z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