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“旧伤复发申请确认”办事指南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自然人,其他组织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因旧伤复发需要进行治疗的工伤职工。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7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工伤职工旧伤复发治疗申请表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工伤职工社会保障卡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 协议机构根据申请人伤情需要提出旧伤复发治疗意见，在系统内录入工伤伤害部位、就医类别、疾病名称、疾病编码、入院时间等信息，推送至社保经办机构业务初审岗。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2.初审 业务初审岗审核协议机构提交信息的完整性和准确性： a)信息完整且准确的，审核通过； b)信息不完整或不准确的，审核不通过。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1.申请：申请人提交材料；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2.受理：经办人员对材料完整性及受理条件符合性进行审核；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3.审核：经办人员对政策符合性进行审核；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问：我已领取了一次性医疗补助金，是否可以再申请旧伤复发？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答：支付一次性医疗补助金后工伤保险关系随之终结，不再享受工伤保险待遇，不可申请旧伤复发。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第四章 工伤医疗、康复与辅助器具配置管理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第二节 工伤医疗管理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四十三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工伤职工因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伤复发需要治疗的，由用人单位、工伤职工或者其近亲属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提出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伤复发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治疗申请，由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就诊的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协议机构提出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伤复发的诊断意见，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经办机构核准后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就医。对工伤复发有争议的，由劳动能力鉴定委员会确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774528C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4801247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6EDD3F8A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2025-08-01T05:42:19Z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