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40"/>
          <w:szCs w:val="40"/>
          <w:lang w:val="en-US" w:eastAsia="zh-CN"/>
          <w14:textFill>
            <w14:solidFill>
              <w14:schemeClr w14:val="tx1"/>
            </w14:solidFill>
          </w14:textFill>
        </w:rPr>
      </w:pPr>
      <w:r>
        <w:rPr>
          <w:rFonts w:hint="eastAsia" w:ascii="黑体" w:hAnsi="黑体" w:eastAsia="黑体" w:cs="黑体"/>
          <w:color w:val="000000" w:themeColor="text1"/>
          <w:sz w:val="40"/>
          <w:szCs w:val="40"/>
          <w:lang w:val="en-US" w:eastAsia="zh-CN"/>
          <w14:textFill>
            <w14:solidFill>
              <w14:schemeClr w14:val="tx1"/>
            </w14:solidFill>
          </w14:textFill>
        </w:rPr>
        <w:t>“工伤保险待遇发放账户维护申请”办事指南</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申请维护养老保险、工伤保险、失业保险待遇发放账户的参保人或其参保单位或死亡参保人的遗属。</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1个工作日</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6"/>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被委托人社会保障卡或有效身份证件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参保人社会保障卡或有效身份证件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遗属的社会保障卡</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4</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银行卡</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1.申请：申请人登录线上办理渠道向社保经办机构提出申请，提交材料；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 xml:space="preserve">2.受理：经办人员对材料完整性及受理条件符合性进行审核；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3.办结：符合条件的，予以办结并反馈结果。（参保单位仅限办理低风险业务，灵活就业人员仅限变更非关键信息）。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问：工伤保险待遇可以发放到非本人银行卡上吗？</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答：工伤保险待遇原则上需发放到本人银行卡上，确实无法发放至本人银行卡的，一次性待遇由参保单位提供情况说明后可发放至参保单位，定期待遇待本人办理好银行卡后正常发放并补发。</w:t>
      </w:r>
    </w:p>
    <w:p>
      <w:pPr>
        <w:rPr>
          <w:rFonts w:hint="eastAsia" w:ascii="方正小标宋简体" w:hAnsi="方正小标宋简体" w:eastAsia="方正小标宋简体" w:cs="方正小标宋简体"/>
          <w:color w:val="000000"/>
          <w:sz w:val="44"/>
          <w:szCs w:val="44"/>
          <w:u w:val="none"/>
          <w:lang w:eastAsia="zh-CN"/>
        </w:rPr>
      </w:pPr>
      <w:r>
        <w:rPr>
          <w:rFonts w:hint="eastAsia" w:ascii="仿宋_GB2312" w:hAnsi="仿宋_GB2312" w:eastAsia="仿宋_GB2312" w:cs="仿宋_GB2312"/>
          <w:b/>
          <w:bCs/>
          <w:sz w:val="32"/>
          <w:szCs w:val="32"/>
          <w:lang w:eastAsia="zh-CN"/>
        </w:rPr>
        <w:t>相关政策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关于印发新疆维吾尔自治区工伤保险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经办规程的通知</w:t>
      </w:r>
    </w:p>
    <w:p>
      <w:pPr>
        <w:keepNext w:val="0"/>
        <w:keepLines w:val="0"/>
        <w:pageBreakBefore w:val="0"/>
        <w:widowControl w:val="0"/>
        <w:kinsoku/>
        <w:wordWrap/>
        <w:topLinePunct w:val="0"/>
        <w:autoSpaceDE/>
        <w:autoSpaceDN/>
        <w:bidi w:val="0"/>
        <w:adjustRightInd/>
        <w:spacing w:line="580" w:lineRule="exact"/>
        <w:ind w:right="0" w:rightChars="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新人社办发〔20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w:t>
      </w:r>
      <w:r>
        <w:rPr>
          <w:rFonts w:hint="eastAsia" w:ascii="仿宋_GB2312" w:hAnsi="仿宋_GB2312" w:cs="仿宋_GB2312"/>
          <w:b w:val="0"/>
          <w:bCs w:val="0"/>
          <w:color w:val="auto"/>
          <w:sz w:val="32"/>
          <w:szCs w:val="32"/>
          <w:lang w:val="en-US" w:eastAsia="zh-CN"/>
        </w:rPr>
        <w:t>32</w:t>
      </w:r>
      <w:r>
        <w:rPr>
          <w:rFonts w:hint="eastAsia" w:ascii="仿宋_GB2312" w:hAnsi="仿宋_GB2312" w:eastAsia="仿宋_GB2312" w:cs="仿宋_GB2312"/>
          <w:b w:val="0"/>
          <w:bCs w:val="0"/>
          <w:color w:val="auto"/>
          <w:sz w:val="32"/>
          <w:szCs w:val="32"/>
        </w:rPr>
        <w:t>号</w:t>
      </w:r>
    </w:p>
    <w:p>
      <w:pPr>
        <w:pStyle w:val="3"/>
        <w:pageBreakBefore w:val="0"/>
        <w:kinsoku/>
        <w:wordWrap/>
        <w:overflowPunct/>
        <w:topLinePunct w:val="0"/>
        <w:bidi w:val="0"/>
        <w:adjustRightInd/>
        <w:spacing w:before="0" w:beforeLines="0" w:after="0" w:afterLines="0" w:line="560" w:lineRule="exact"/>
        <w:ind w:left="0" w:leftChars="0" w:right="0" w:rightChars="0" w:firstLine="0" w:firstLineChars="0"/>
        <w:jc w:val="center"/>
        <w:textAlignment w:val="auto"/>
        <w:rPr>
          <w:rFonts w:ascii="黑体" w:hAnsi="黑体" w:eastAsia="黑体" w:cs="黑体"/>
          <w:b w:val="0"/>
          <w:bCs/>
          <w:color w:val="000000"/>
          <w:sz w:val="32"/>
          <w:szCs w:val="32"/>
          <w:u w:val="none"/>
        </w:rPr>
      </w:pPr>
      <w:bookmarkStart w:id="0" w:name="_Toc89785123"/>
      <w:r>
        <w:rPr>
          <w:rFonts w:hint="eastAsia" w:ascii="黑体" w:hAnsi="黑体" w:eastAsia="黑体" w:cs="黑体"/>
          <w:b w:val="0"/>
          <w:bCs/>
          <w:color w:val="000000"/>
          <w:sz w:val="32"/>
          <w:szCs w:val="32"/>
          <w:u w:val="none"/>
        </w:rPr>
        <w:t>第六章 工伤保险待遇和专项费用支付</w:t>
      </w:r>
      <w:bookmarkEnd w:id="0"/>
    </w:p>
    <w:p>
      <w:pPr>
        <w:pStyle w:val="4"/>
        <w:pageBreakBefore w:val="0"/>
        <w:kinsoku/>
        <w:wordWrap/>
        <w:overflowPunct/>
        <w:topLinePunct w:val="0"/>
        <w:bidi w:val="0"/>
        <w:adjustRightInd/>
        <w:spacing w:before="0" w:beforeLines="0" w:after="0" w:afterLines="0" w:line="560" w:lineRule="exact"/>
        <w:ind w:left="0" w:leftChars="0" w:right="0" w:rightChars="0" w:firstLine="0" w:firstLineChars="0"/>
        <w:jc w:val="center"/>
        <w:textAlignment w:val="auto"/>
        <w:rPr>
          <w:rFonts w:ascii="楷体_GB2312" w:hAnsi="楷体_GB2312" w:eastAsia="楷体_GB2312" w:cs="楷体_GB2312"/>
          <w:b w:val="0"/>
          <w:bCs/>
          <w:color w:val="000000"/>
          <w:szCs w:val="32"/>
          <w:u w:val="none"/>
        </w:rPr>
      </w:pPr>
      <w:r>
        <w:rPr>
          <w:rFonts w:hint="eastAsia" w:ascii="楷体_GB2312" w:hAnsi="楷体_GB2312" w:eastAsia="楷体_GB2312" w:cs="楷体_GB2312"/>
          <w:b w:val="0"/>
          <w:bCs/>
          <w:color w:val="000000"/>
          <w:szCs w:val="32"/>
          <w:u w:val="none"/>
        </w:rPr>
        <w:t>第一节 工伤保险待遇支付</w:t>
      </w:r>
    </w:p>
    <w:p>
      <w:pPr>
        <w:pageBreakBefore w:val="0"/>
        <w:kinsoku/>
        <w:wordWrap/>
        <w:overflowPunct/>
        <w:topLinePunct w:val="0"/>
        <w:bidi w:val="0"/>
        <w:adjustRightInd/>
        <w:spacing w:beforeLines="0" w:afterLines="0" w:line="560" w:lineRule="exact"/>
        <w:ind w:left="0" w:leftChars="0" w:right="0" w:rightChars="0" w:firstLine="643"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rPr>
        <w:t>第</w:t>
      </w:r>
      <w:r>
        <w:rPr>
          <w:rFonts w:hint="eastAsia" w:ascii="仿宋_GB2312" w:hAnsi="仿宋_GB2312" w:eastAsia="仿宋_GB2312" w:cs="仿宋_GB2312"/>
          <w:b/>
          <w:bCs/>
          <w:color w:val="000000"/>
          <w:sz w:val="32"/>
          <w:szCs w:val="32"/>
          <w:u w:val="none"/>
          <w:lang w:eastAsia="zh-CN"/>
        </w:rPr>
        <w:t>八十</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经办机构每月根据工伤保险待遇、待遇调整、待遇重核等相关信息，建立当月工伤职工待遇支付台账，汇总核定结果。</w:t>
      </w:r>
    </w:p>
    <w:p>
      <w:pPr>
        <w:pageBreakBefore w:val="0"/>
        <w:kinsoku/>
        <w:wordWrap/>
        <w:overflowPunct/>
        <w:topLinePunct w:val="0"/>
        <w:bidi w:val="0"/>
        <w:adjustRightInd/>
        <w:spacing w:beforeLines="0" w:afterLines="0" w:line="560" w:lineRule="exact"/>
        <w:ind w:left="0" w:leftChars="0" w:right="0" w:rightChars="0" w:firstLine="640" w:firstLineChars="200"/>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用人单位或工伤职工垫付的工伤医疗费可通过与经办机构签订代发协议的商业银行进行支付；在</w:t>
      </w:r>
      <w:r>
        <w:rPr>
          <w:rFonts w:hint="eastAsia" w:ascii="仿宋_GB2312" w:hAnsi="仿宋_GB2312" w:eastAsia="仿宋_GB2312" w:cs="仿宋_GB2312"/>
          <w:color w:val="000000"/>
          <w:sz w:val="32"/>
          <w:szCs w:val="32"/>
          <w:u w:val="none"/>
          <w:lang w:eastAsia="zh-CN"/>
        </w:rPr>
        <w:t>协议机构</w:t>
      </w:r>
      <w:r>
        <w:rPr>
          <w:rFonts w:hint="eastAsia" w:ascii="仿宋_GB2312" w:hAnsi="仿宋_GB2312" w:eastAsia="仿宋_GB2312" w:cs="仿宋_GB2312"/>
          <w:color w:val="000000"/>
          <w:sz w:val="32"/>
          <w:szCs w:val="32"/>
          <w:u w:val="none"/>
        </w:rPr>
        <w:t>发生的费用可通过与工伤协议机构网上审核后结算支付。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D61A9F"/>
    <w:rsid w:val="2CFD76E1"/>
    <w:rsid w:val="2D400B9B"/>
    <w:rsid w:val="2FB92AA1"/>
    <w:rsid w:val="306F3AF7"/>
    <w:rsid w:val="31EE3776"/>
    <w:rsid w:val="324F5D9C"/>
    <w:rsid w:val="32642B16"/>
    <w:rsid w:val="348A210B"/>
    <w:rsid w:val="36605BC1"/>
    <w:rsid w:val="37A6279B"/>
    <w:rsid w:val="3B551814"/>
    <w:rsid w:val="3BA75122"/>
    <w:rsid w:val="3C250B7B"/>
    <w:rsid w:val="3C3C10DB"/>
    <w:rsid w:val="3DBF55E5"/>
    <w:rsid w:val="3E2D027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92F3A"/>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2025-08-01T05:40:31Z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