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C0DA" w14:textId="77777777" w:rsidR="00F01289" w:rsidRDefault="00D508A1">
      <w:pPr>
        <w:jc w:val="center"/>
        <w:rPr>
          <w:rFonts w:ascii="黑体" w:eastAsia="黑体" w:hAnsi="黑体" w:cs="黑体" w:hint="eastAsia"/>
          <w:sz w:val="40"/>
          <w:szCs w:val="40"/>
        </w:rPr>
      </w:pPr>
      <w:r>
        <w:rPr>
          <w:rFonts w:ascii="黑体" w:eastAsia="黑体" w:hAnsi="黑体" w:cs="黑体" w:hint="eastAsia"/>
          <w:sz w:val="40"/>
          <w:szCs w:val="40"/>
        </w:rPr>
        <w:t>“企业年金方案备案”办事指南</w:t>
      </w:r>
    </w:p>
    <w:p w14:paraId="29C04BB4" w14:textId="77777777" w:rsidR="00F01289" w:rsidRDefault="00D508A1">
      <w:pPr>
        <w:numPr>
          <w:ilvl w:val="0"/>
          <w:numId w:val="1"/>
        </w:numPr>
        <w:rPr>
          <w:rFonts w:ascii="黑体" w:eastAsia="黑体" w:hAnsi="黑体" w:cs="黑体" w:hint="eastAsia"/>
          <w:sz w:val="28"/>
          <w:szCs w:val="28"/>
        </w:rPr>
      </w:pPr>
      <w:r>
        <w:rPr>
          <w:rFonts w:ascii="黑体" w:eastAsia="黑体" w:hAnsi="黑体" w:cs="黑体" w:hint="eastAsia"/>
          <w:sz w:val="28"/>
          <w:szCs w:val="28"/>
        </w:rPr>
        <w:t>服务对象：</w:t>
      </w:r>
      <w:r>
        <w:rPr>
          <w:rFonts w:ascii="黑体" w:eastAsia="黑体" w:hAnsi="黑体" w:cs="黑体" w:hint="eastAsia"/>
          <w:color w:val="333333"/>
          <w:sz w:val="24"/>
          <w:shd w:val="clear" w:color="auto" w:fill="FFFFFF"/>
        </w:rPr>
        <w:t>企业法人</w:t>
      </w:r>
    </w:p>
    <w:p w14:paraId="5125106E" w14:textId="77777777" w:rsidR="00F01289" w:rsidRDefault="00D508A1">
      <w:pPr>
        <w:numPr>
          <w:ilvl w:val="0"/>
          <w:numId w:val="1"/>
        </w:numPr>
        <w:rPr>
          <w:rFonts w:ascii="黑体" w:eastAsia="黑体" w:hAnsi="黑体" w:cs="黑体" w:hint="eastAsia"/>
          <w:sz w:val="28"/>
          <w:szCs w:val="28"/>
        </w:rPr>
      </w:pPr>
      <w:r>
        <w:rPr>
          <w:rFonts w:ascii="黑体" w:eastAsia="黑体" w:hAnsi="黑体" w:cs="黑体" w:hint="eastAsia"/>
          <w:sz w:val="28"/>
          <w:szCs w:val="28"/>
        </w:rPr>
        <w:t>受理条件：</w:t>
      </w:r>
      <w:r>
        <w:rPr>
          <w:rFonts w:ascii="黑体" w:eastAsia="黑体" w:hAnsi="黑体" w:cs="黑体" w:hint="eastAsia"/>
          <w:color w:val="333333"/>
          <w:sz w:val="24"/>
          <w:shd w:val="clear" w:color="auto" w:fill="FFFFFF"/>
        </w:rPr>
        <w:t>企业依法缴纳基本养老保险，经企业与职工一方协商一致</w:t>
      </w:r>
    </w:p>
    <w:p w14:paraId="15F43636" w14:textId="77777777" w:rsidR="00F01289" w:rsidRDefault="00D508A1">
      <w:pPr>
        <w:numPr>
          <w:ilvl w:val="0"/>
          <w:numId w:val="1"/>
        </w:numPr>
        <w:rPr>
          <w:rFonts w:ascii="黑体" w:eastAsia="黑体" w:hAnsi="黑体" w:cs="黑体" w:hint="eastAsia"/>
          <w:sz w:val="28"/>
          <w:szCs w:val="28"/>
        </w:rPr>
      </w:pPr>
      <w:r>
        <w:rPr>
          <w:rFonts w:ascii="黑体" w:eastAsia="黑体" w:hAnsi="黑体" w:cs="黑体" w:hint="eastAsia"/>
          <w:sz w:val="28"/>
          <w:szCs w:val="28"/>
        </w:rPr>
        <w:t>承诺办结时间（工作日）：</w:t>
      </w: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5</w:t>
      </w:r>
      <w:r>
        <w:rPr>
          <w:rFonts w:ascii="黑体" w:eastAsia="黑体" w:hAnsi="黑体" w:cs="黑体" w:hint="eastAsia"/>
          <w:color w:val="333333"/>
          <w:sz w:val="24"/>
          <w:shd w:val="clear" w:color="auto" w:fill="FFFFFF"/>
        </w:rPr>
        <w:t>个工作日</w:t>
      </w:r>
    </w:p>
    <w:p w14:paraId="54D07ED2" w14:textId="77777777" w:rsidR="00F01289" w:rsidRDefault="00D508A1">
      <w:pPr>
        <w:numPr>
          <w:ilvl w:val="0"/>
          <w:numId w:val="1"/>
        </w:numPr>
        <w:rPr>
          <w:rFonts w:ascii="黑体" w:eastAsia="黑体" w:hAnsi="黑体" w:cs="黑体" w:hint="eastAsia"/>
          <w:sz w:val="28"/>
          <w:szCs w:val="28"/>
        </w:rPr>
      </w:pPr>
      <w:r>
        <w:rPr>
          <w:rFonts w:ascii="黑体" w:eastAsia="黑体" w:hAnsi="黑体" w:cs="黑体" w:hint="eastAsia"/>
          <w:sz w:val="28"/>
          <w:szCs w:val="28"/>
        </w:rPr>
        <w:t>收费标准：</w:t>
      </w:r>
      <w:r>
        <w:rPr>
          <w:rFonts w:ascii="黑体" w:eastAsia="黑体" w:hAnsi="黑体" w:cs="黑体" w:hint="eastAsia"/>
          <w:color w:val="333333"/>
          <w:sz w:val="24"/>
          <w:shd w:val="clear" w:color="auto" w:fill="FFFFFF"/>
        </w:rPr>
        <w:t>不收费</w:t>
      </w:r>
    </w:p>
    <w:p w14:paraId="5D9E29E2" w14:textId="77777777" w:rsidR="00F01289" w:rsidRDefault="00D508A1">
      <w:pPr>
        <w:numPr>
          <w:ilvl w:val="0"/>
          <w:numId w:val="1"/>
        </w:numPr>
        <w:rPr>
          <w:rFonts w:ascii="黑体" w:eastAsia="黑体" w:hAnsi="黑体" w:cs="黑体" w:hint="eastAsia"/>
          <w:sz w:val="28"/>
          <w:szCs w:val="28"/>
        </w:rPr>
      </w:pPr>
      <w:r>
        <w:rPr>
          <w:rFonts w:ascii="黑体" w:eastAsia="黑体" w:hAnsi="黑体" w:cs="黑体" w:hint="eastAsia"/>
          <w:sz w:val="28"/>
          <w:szCs w:val="28"/>
        </w:rPr>
        <w:t>办理时间</w:t>
      </w:r>
      <w:r>
        <w:rPr>
          <w:rFonts w:ascii="黑体" w:eastAsia="黑体" w:hAnsi="黑体" w:cs="黑体" w:hint="eastAsia"/>
          <w:sz w:val="28"/>
          <w:szCs w:val="28"/>
        </w:rPr>
        <w:t>:</w:t>
      </w:r>
    </w:p>
    <w:p w14:paraId="17B9BD03" w14:textId="77777777" w:rsidR="00F01289" w:rsidRDefault="00D508A1">
      <w:pPr>
        <w:rPr>
          <w:rFonts w:ascii="黑体" w:eastAsia="黑体" w:hAnsi="黑体" w:cs="黑体" w:hint="eastAsia"/>
          <w:sz w:val="28"/>
          <w:szCs w:val="28"/>
        </w:rPr>
      </w:pPr>
      <w:r>
        <w:rPr>
          <w:rFonts w:ascii="黑体" w:eastAsia="黑体" w:hAnsi="黑体" w:cs="黑体" w:hint="eastAsia"/>
          <w:color w:val="333333"/>
          <w:sz w:val="24"/>
          <w:shd w:val="clear" w:color="auto" w:fill="FFFFFF"/>
        </w:rPr>
        <w:t>周一至周五</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双休及国家法定节假日除外</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 xml:space="preserve"> </w:t>
      </w:r>
    </w:p>
    <w:p w14:paraId="4B94E3DF" w14:textId="77777777" w:rsidR="00F01289" w:rsidRDefault="00D508A1">
      <w:pP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冬季作息时间：上午：</w:t>
      </w:r>
      <w:r>
        <w:rPr>
          <w:rFonts w:ascii="黑体" w:eastAsia="黑体" w:hAnsi="黑体" w:cs="黑体" w:hint="eastAsia"/>
          <w:color w:val="333333"/>
          <w:sz w:val="24"/>
          <w:shd w:val="clear" w:color="auto" w:fill="FFFFFF"/>
        </w:rPr>
        <w:t>10:00-14:00</w:t>
      </w:r>
      <w:r>
        <w:rPr>
          <w:rFonts w:ascii="黑体" w:eastAsia="黑体" w:hAnsi="黑体" w:cs="黑体" w:hint="eastAsia"/>
          <w:color w:val="333333"/>
          <w:sz w:val="24"/>
          <w:shd w:val="clear" w:color="auto" w:fill="FFFFFF"/>
        </w:rPr>
        <w:t xml:space="preserve">    </w:t>
      </w:r>
      <w:r>
        <w:rPr>
          <w:rFonts w:ascii="黑体" w:eastAsia="黑体" w:hAnsi="黑体" w:cs="黑体" w:hint="eastAsia"/>
          <w:color w:val="333333"/>
          <w:sz w:val="24"/>
          <w:shd w:val="clear" w:color="auto" w:fill="FFFFFF"/>
        </w:rPr>
        <w:t>下午：</w:t>
      </w:r>
      <w:r>
        <w:rPr>
          <w:rFonts w:ascii="黑体" w:eastAsia="黑体" w:hAnsi="黑体" w:cs="黑体" w:hint="eastAsia"/>
          <w:color w:val="333333"/>
          <w:sz w:val="24"/>
          <w:shd w:val="clear" w:color="auto" w:fill="FFFFFF"/>
        </w:rPr>
        <w:t>15:30-19:30</w:t>
      </w:r>
    </w:p>
    <w:p w14:paraId="29F6BC4D" w14:textId="77777777" w:rsidR="00F01289" w:rsidRDefault="00D508A1">
      <w:pP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夏季工作时间：上午：</w:t>
      </w:r>
      <w:r>
        <w:rPr>
          <w:rFonts w:ascii="黑体" w:eastAsia="黑体" w:hAnsi="黑体" w:cs="黑体" w:hint="eastAsia"/>
          <w:color w:val="333333"/>
          <w:sz w:val="24"/>
          <w:shd w:val="clear" w:color="auto" w:fill="FFFFFF"/>
        </w:rPr>
        <w:t>10:00-14:00</w:t>
      </w:r>
      <w:r>
        <w:rPr>
          <w:rFonts w:ascii="黑体" w:eastAsia="黑体" w:hAnsi="黑体" w:cs="黑体" w:hint="eastAsia"/>
          <w:color w:val="333333"/>
          <w:sz w:val="24"/>
          <w:shd w:val="clear" w:color="auto" w:fill="FFFFFF"/>
        </w:rPr>
        <w:t xml:space="preserve">    </w:t>
      </w:r>
      <w:r>
        <w:rPr>
          <w:rFonts w:ascii="黑体" w:eastAsia="黑体" w:hAnsi="黑体" w:cs="黑体" w:hint="eastAsia"/>
          <w:color w:val="333333"/>
          <w:sz w:val="24"/>
          <w:shd w:val="clear" w:color="auto" w:fill="FFFFFF"/>
        </w:rPr>
        <w:t>下午：</w:t>
      </w:r>
      <w:r>
        <w:rPr>
          <w:rFonts w:ascii="黑体" w:eastAsia="黑体" w:hAnsi="黑体" w:cs="黑体" w:hint="eastAsia"/>
          <w:color w:val="333333"/>
          <w:sz w:val="24"/>
          <w:shd w:val="clear" w:color="auto" w:fill="FFFFFF"/>
        </w:rPr>
        <w:t>16:00-20:00</w:t>
      </w:r>
      <w:r>
        <w:rPr>
          <w:rFonts w:ascii="黑体" w:eastAsia="黑体" w:hAnsi="黑体" w:cs="黑体" w:hint="eastAsia"/>
          <w:color w:val="333333"/>
          <w:sz w:val="24"/>
          <w:shd w:val="clear" w:color="auto" w:fill="FFFFFF"/>
        </w:rPr>
        <w:t>（法定节假日除外）</w:t>
      </w:r>
    </w:p>
    <w:p w14:paraId="79A2AB17" w14:textId="77777777" w:rsidR="00F01289" w:rsidRDefault="00D508A1">
      <w:pPr>
        <w:rPr>
          <w:rFonts w:ascii="黑体" w:eastAsia="黑体" w:hAnsi="黑体" w:cs="黑体" w:hint="eastAsia"/>
          <w:sz w:val="28"/>
          <w:szCs w:val="28"/>
        </w:rPr>
      </w:pPr>
      <w:r>
        <w:rPr>
          <w:rFonts w:ascii="黑体" w:eastAsia="黑体" w:hAnsi="黑体" w:cs="黑体" w:hint="eastAsia"/>
          <w:sz w:val="28"/>
          <w:szCs w:val="28"/>
        </w:rPr>
        <w:t>六、服务方式</w:t>
      </w:r>
    </w:p>
    <w:p w14:paraId="708A7861" w14:textId="11FABABA" w:rsidR="00F01289" w:rsidRDefault="00D508A1">
      <w:pPr>
        <w:rPr>
          <w:rFonts w:ascii="黑体" w:eastAsia="黑体" w:hAnsi="黑体" w:cs="黑体" w:hint="eastAsia"/>
          <w:color w:val="333333"/>
          <w:sz w:val="24"/>
          <w:shd w:val="clear" w:color="auto" w:fill="FFFFFF"/>
        </w:rPr>
      </w:pPr>
      <w:r>
        <w:rPr>
          <w:rFonts w:ascii="黑体" w:eastAsia="黑体" w:hAnsi="黑体" w:cs="黑体" w:hint="eastAsia"/>
          <w:sz w:val="28"/>
          <w:szCs w:val="28"/>
        </w:rPr>
        <w:t>方式</w:t>
      </w:r>
      <w:proofErr w:type="gramStart"/>
      <w:r>
        <w:rPr>
          <w:rFonts w:ascii="黑体" w:eastAsia="黑体" w:hAnsi="黑体" w:cs="黑体" w:hint="eastAsia"/>
          <w:sz w:val="28"/>
          <w:szCs w:val="28"/>
        </w:rPr>
        <w:t>一</w:t>
      </w:r>
      <w:proofErr w:type="gramEnd"/>
      <w:r>
        <w:rPr>
          <w:rFonts w:ascii="黑体" w:eastAsia="黑体" w:hAnsi="黑体" w:cs="黑体" w:hint="eastAsia"/>
          <w:sz w:val="28"/>
          <w:szCs w:val="28"/>
        </w:rPr>
        <w:t>（窗口办）：</w:t>
      </w:r>
      <w:r>
        <w:rPr>
          <w:rFonts w:ascii="黑体" w:eastAsia="黑体" w:hAnsi="黑体" w:cs="黑体" w:hint="eastAsia"/>
          <w:color w:val="333333"/>
          <w:sz w:val="24"/>
          <w:shd w:val="clear" w:color="auto" w:fill="FFFFFF"/>
        </w:rPr>
        <w:t>益民大厦</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乌鲁木齐市水磨沟区苇湖梁街道</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三楼</w:t>
      </w:r>
      <w:r>
        <w:rPr>
          <w:rFonts w:ascii="黑体" w:eastAsia="黑体" w:hAnsi="黑体" w:cs="黑体" w:hint="eastAsia"/>
          <w:color w:val="333333"/>
          <w:sz w:val="24"/>
          <w:shd w:val="clear" w:color="auto" w:fill="FFFFFF"/>
        </w:rPr>
        <w:t>A</w:t>
      </w:r>
      <w:r>
        <w:rPr>
          <w:rFonts w:ascii="黑体" w:eastAsia="黑体" w:hAnsi="黑体" w:cs="黑体" w:hint="eastAsia"/>
          <w:color w:val="333333"/>
          <w:sz w:val="24"/>
          <w:shd w:val="clear" w:color="auto" w:fill="FFFFFF"/>
        </w:rPr>
        <w:t>区</w:t>
      </w:r>
      <w:r>
        <w:rPr>
          <w:rFonts w:ascii="黑体" w:eastAsia="黑体" w:hAnsi="黑体" w:cs="黑体" w:hint="eastAsia"/>
          <w:color w:val="333333"/>
          <w:sz w:val="24"/>
          <w:shd w:val="clear" w:color="auto" w:fill="FFFFFF"/>
        </w:rPr>
        <w:t>41</w:t>
      </w:r>
      <w:r>
        <w:rPr>
          <w:rFonts w:ascii="黑体" w:eastAsia="黑体" w:hAnsi="黑体" w:cs="黑体" w:hint="eastAsia"/>
          <w:color w:val="333333"/>
          <w:sz w:val="24"/>
          <w:shd w:val="clear" w:color="auto" w:fill="FFFFFF"/>
        </w:rPr>
        <w:t>号</w:t>
      </w:r>
      <w:r w:rsidR="00B9002C">
        <w:rPr>
          <w:rFonts w:ascii="黑体" w:eastAsia="黑体" w:hAnsi="黑体" w:cs="黑体" w:hint="eastAsia"/>
          <w:color w:val="333333"/>
          <w:sz w:val="24"/>
          <w:shd w:val="clear" w:color="auto" w:fill="FFFFFF"/>
        </w:rPr>
        <w:t>、自治区人力资源和社会保障厅616办公室（乌鲁木齐市北京南路445号）</w:t>
      </w:r>
    </w:p>
    <w:p w14:paraId="0B391827" w14:textId="5703EEA0" w:rsidR="00F01289" w:rsidRDefault="00D508A1">
      <w:pPr>
        <w:rPr>
          <w:rFonts w:ascii="黑体" w:eastAsia="黑体" w:hAnsi="黑体" w:cs="黑体" w:hint="eastAsia"/>
          <w:color w:val="333333"/>
          <w:sz w:val="24"/>
          <w:shd w:val="clear" w:color="auto" w:fill="FFFFFF"/>
        </w:rPr>
      </w:pPr>
      <w:r>
        <w:rPr>
          <w:rFonts w:ascii="黑体" w:eastAsia="黑体" w:hAnsi="黑体" w:cs="黑体" w:hint="eastAsia"/>
          <w:sz w:val="28"/>
          <w:szCs w:val="28"/>
        </w:rPr>
        <w:lastRenderedPageBreak/>
        <w:t>方式二（网上办）</w:t>
      </w:r>
      <w:r>
        <w:rPr>
          <w:rFonts w:ascii="黑体" w:eastAsia="黑体" w:hAnsi="黑体" w:cs="黑体" w:hint="eastAsia"/>
          <w:sz w:val="28"/>
          <w:szCs w:val="28"/>
        </w:rPr>
        <w:t>：</w:t>
      </w:r>
      <w:r>
        <w:rPr>
          <w:rFonts w:ascii="黑体" w:eastAsia="黑体" w:hAnsi="黑体" w:cs="黑体" w:hint="eastAsia"/>
          <w:color w:val="333333"/>
          <w:sz w:val="24"/>
          <w:shd w:val="clear" w:color="auto" w:fill="FFFFFF"/>
        </w:rPr>
        <w:t>新疆政务服务网（</w:t>
      </w:r>
      <w:r>
        <w:rPr>
          <w:rFonts w:ascii="黑体" w:eastAsia="黑体" w:hAnsi="黑体" w:cs="黑体" w:hint="eastAsia"/>
          <w:color w:val="333333"/>
          <w:sz w:val="24"/>
          <w:shd w:val="clear" w:color="auto" w:fill="FFFFFF"/>
        </w:rPr>
        <w:t>https//zwfw.xinjiang.gov.cn/</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“新服办”</w:t>
      </w:r>
      <w:r>
        <w:rPr>
          <w:rFonts w:ascii="黑体" w:eastAsia="黑体" w:hAnsi="黑体" w:cs="黑体" w:hint="eastAsia"/>
          <w:color w:val="333333"/>
          <w:sz w:val="24"/>
          <w:shd w:val="clear" w:color="auto" w:fill="FFFFFF"/>
        </w:rPr>
        <w:t>APP</w:t>
      </w:r>
      <w:r>
        <w:rPr>
          <w:rFonts w:ascii="黑体" w:eastAsia="黑体" w:hAnsi="黑体" w:cs="黑体" w:hint="eastAsia"/>
          <w:color w:val="333333"/>
          <w:sz w:val="24"/>
          <w:shd w:val="clear" w:color="auto" w:fill="FFFFFF"/>
        </w:rPr>
        <w:t>或“新疆智慧人社</w:t>
      </w:r>
      <w:r w:rsidR="00B9002C">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小程序</w:t>
      </w:r>
      <w:proofErr w:type="gramStart"/>
      <w:r>
        <w:rPr>
          <w:rFonts w:ascii="黑体" w:eastAsia="黑体" w:hAnsi="黑体" w:cs="黑体" w:hint="eastAsia"/>
          <w:color w:val="333333"/>
          <w:sz w:val="24"/>
          <w:shd w:val="clear" w:color="auto" w:fill="FFFFFF"/>
        </w:rPr>
        <w:t>”</w:t>
      </w:r>
      <w:proofErr w:type="gramEnd"/>
      <w:r>
        <w:rPr>
          <w:rFonts w:ascii="黑体" w:eastAsia="黑体" w:hAnsi="黑体" w:cs="黑体" w:hint="eastAsia"/>
          <w:color w:val="333333"/>
          <w:sz w:val="24"/>
          <w:shd w:val="clear" w:color="auto" w:fill="FFFFFF"/>
        </w:rPr>
        <w:t>。</w:t>
      </w:r>
    </w:p>
    <w:p w14:paraId="28604DD6" w14:textId="77777777" w:rsidR="00F01289" w:rsidRDefault="00F01289">
      <w:pPr>
        <w:rPr>
          <w:rFonts w:ascii="黑体" w:eastAsia="黑体" w:hAnsi="黑体" w:cs="黑体" w:hint="eastAsia"/>
          <w:sz w:val="28"/>
          <w:szCs w:val="28"/>
        </w:rPr>
      </w:pPr>
    </w:p>
    <w:p w14:paraId="1196D107" w14:textId="77777777" w:rsidR="00F01289" w:rsidRDefault="00D508A1">
      <w:pPr>
        <w:rPr>
          <w:rFonts w:ascii="黑体" w:eastAsia="黑体" w:hAnsi="黑体" w:cs="黑体" w:hint="eastAsia"/>
          <w:color w:val="333333"/>
          <w:sz w:val="24"/>
          <w:shd w:val="clear" w:color="auto" w:fill="FFFFFF"/>
        </w:rPr>
      </w:pPr>
      <w:r>
        <w:rPr>
          <w:rFonts w:ascii="黑体" w:eastAsia="黑体" w:hAnsi="黑体" w:cs="黑体" w:hint="eastAsia"/>
          <w:sz w:val="28"/>
          <w:szCs w:val="28"/>
        </w:rPr>
        <w:t>七、咨询方式</w:t>
      </w:r>
    </w:p>
    <w:p w14:paraId="61DDBB8E" w14:textId="77777777" w:rsidR="00F01289" w:rsidRDefault="00D508A1">
      <w:pPr>
        <w:rPr>
          <w:rFonts w:ascii="黑体" w:eastAsia="黑体" w:hAnsi="黑体" w:cs="黑体" w:hint="eastAsia"/>
          <w:color w:val="333333"/>
          <w:sz w:val="24"/>
          <w:shd w:val="clear" w:color="auto" w:fill="FFFFFF"/>
        </w:rPr>
      </w:pPr>
      <w:r>
        <w:rPr>
          <w:rFonts w:ascii="黑体" w:eastAsia="黑体" w:hAnsi="黑体" w:cs="黑体" w:hint="eastAsia"/>
          <w:sz w:val="28"/>
          <w:szCs w:val="28"/>
        </w:rPr>
        <w:t>咨询电话：</w:t>
      </w:r>
      <w:r>
        <w:rPr>
          <w:rFonts w:ascii="黑体" w:eastAsia="黑体" w:hAnsi="黑体" w:cs="黑体" w:hint="eastAsia"/>
          <w:color w:val="333333"/>
          <w:sz w:val="24"/>
          <w:shd w:val="clear" w:color="auto" w:fill="FFFFFF"/>
        </w:rPr>
        <w:t>0991-3</w:t>
      </w:r>
      <w:r>
        <w:rPr>
          <w:rFonts w:ascii="黑体" w:eastAsia="黑体" w:hAnsi="黑体" w:cs="黑体" w:hint="eastAsia"/>
          <w:color w:val="333333"/>
          <w:sz w:val="24"/>
          <w:shd w:val="clear" w:color="auto" w:fill="FFFFFF"/>
        </w:rPr>
        <w:t>689715</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0991-3689</w:t>
      </w:r>
      <w:r>
        <w:rPr>
          <w:rFonts w:ascii="黑体" w:eastAsia="黑体" w:hAnsi="黑体" w:cs="黑体" w:hint="eastAsia"/>
          <w:color w:val="333333"/>
          <w:sz w:val="24"/>
          <w:shd w:val="clear" w:color="auto" w:fill="FFFFFF"/>
        </w:rPr>
        <w:t xml:space="preserve">713 </w:t>
      </w:r>
    </w:p>
    <w:p w14:paraId="12711167" w14:textId="77777777" w:rsidR="00F01289" w:rsidRDefault="00D508A1">
      <w:pPr>
        <w:rPr>
          <w:rFonts w:ascii="黑体" w:eastAsia="黑体" w:hAnsi="黑体" w:cs="黑体" w:hint="eastAsia"/>
          <w:sz w:val="28"/>
          <w:szCs w:val="28"/>
        </w:rPr>
      </w:pPr>
      <w:r>
        <w:rPr>
          <w:rFonts w:ascii="黑体" w:eastAsia="黑体" w:hAnsi="黑体" w:cs="黑体" w:hint="eastAsia"/>
          <w:sz w:val="28"/>
          <w:szCs w:val="28"/>
        </w:rPr>
        <w:t>监督电话：</w:t>
      </w:r>
      <w:r>
        <w:rPr>
          <w:rFonts w:ascii="黑体" w:eastAsia="黑体" w:hAnsi="黑体" w:cs="黑体" w:hint="eastAsia"/>
          <w:color w:val="333333"/>
          <w:sz w:val="24"/>
          <w:shd w:val="clear" w:color="auto" w:fill="FFFFFF"/>
        </w:rPr>
        <w:t>0991-12333</w:t>
      </w:r>
    </w:p>
    <w:p w14:paraId="16B55597" w14:textId="77777777" w:rsidR="00F01289" w:rsidRDefault="00D508A1">
      <w:pPr>
        <w:rPr>
          <w:rFonts w:ascii="黑体" w:eastAsia="黑体" w:hAnsi="黑体" w:cs="黑体" w:hint="eastAsia"/>
          <w:sz w:val="28"/>
          <w:szCs w:val="28"/>
        </w:rPr>
      </w:pPr>
      <w:r>
        <w:rPr>
          <w:rFonts w:ascii="黑体" w:eastAsia="黑体" w:hAnsi="黑体" w:cs="黑体" w:hint="eastAsia"/>
          <w:sz w:val="28"/>
          <w:szCs w:val="28"/>
        </w:rPr>
        <w:t>八、材料清单</w:t>
      </w:r>
    </w:p>
    <w:tbl>
      <w:tblPr>
        <w:tblStyle w:val="a4"/>
        <w:tblW w:w="0" w:type="auto"/>
        <w:tblLook w:val="04A0" w:firstRow="1" w:lastRow="0" w:firstColumn="1" w:lastColumn="0" w:noHBand="0" w:noVBand="1"/>
      </w:tblPr>
      <w:tblGrid>
        <w:gridCol w:w="1296"/>
        <w:gridCol w:w="4796"/>
        <w:gridCol w:w="2170"/>
        <w:gridCol w:w="2678"/>
        <w:gridCol w:w="2818"/>
      </w:tblGrid>
      <w:tr w:rsidR="00F01289" w14:paraId="3C96D14B" w14:textId="77777777">
        <w:trPr>
          <w:trHeight w:val="706"/>
        </w:trPr>
        <w:tc>
          <w:tcPr>
            <w:tcW w:w="1296" w:type="dxa"/>
          </w:tcPr>
          <w:p w14:paraId="45A14C09"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序号</w:t>
            </w:r>
          </w:p>
        </w:tc>
        <w:tc>
          <w:tcPr>
            <w:tcW w:w="4796" w:type="dxa"/>
          </w:tcPr>
          <w:p w14:paraId="57EEC85D"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材料名称</w:t>
            </w:r>
          </w:p>
        </w:tc>
        <w:tc>
          <w:tcPr>
            <w:tcW w:w="2170" w:type="dxa"/>
          </w:tcPr>
          <w:p w14:paraId="7E89827B"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必要性</w:t>
            </w:r>
          </w:p>
        </w:tc>
        <w:tc>
          <w:tcPr>
            <w:tcW w:w="2678" w:type="dxa"/>
          </w:tcPr>
          <w:p w14:paraId="7C5F9BB2"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类型及份数</w:t>
            </w:r>
          </w:p>
        </w:tc>
        <w:tc>
          <w:tcPr>
            <w:tcW w:w="2818" w:type="dxa"/>
          </w:tcPr>
          <w:p w14:paraId="7AE4F4F8"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来源</w:t>
            </w:r>
          </w:p>
        </w:tc>
      </w:tr>
      <w:tr w:rsidR="00F01289" w14:paraId="47608006" w14:textId="77777777">
        <w:trPr>
          <w:trHeight w:val="706"/>
        </w:trPr>
        <w:tc>
          <w:tcPr>
            <w:tcW w:w="1296" w:type="dxa"/>
          </w:tcPr>
          <w:p w14:paraId="00E80630"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w:t>
            </w:r>
          </w:p>
        </w:tc>
        <w:tc>
          <w:tcPr>
            <w:tcW w:w="4796" w:type="dxa"/>
          </w:tcPr>
          <w:p w14:paraId="60420E0B"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企业年金方案（实施细则）</w:t>
            </w:r>
          </w:p>
        </w:tc>
        <w:tc>
          <w:tcPr>
            <w:tcW w:w="2170" w:type="dxa"/>
          </w:tcPr>
          <w:p w14:paraId="61219516"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w:t>
            </w:r>
          </w:p>
        </w:tc>
        <w:tc>
          <w:tcPr>
            <w:tcW w:w="2678" w:type="dxa"/>
          </w:tcPr>
          <w:p w14:paraId="6061512B"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原件</w:t>
            </w: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份</w:t>
            </w:r>
          </w:p>
        </w:tc>
        <w:tc>
          <w:tcPr>
            <w:tcW w:w="2818" w:type="dxa"/>
          </w:tcPr>
          <w:p w14:paraId="1073D935"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申请人自备</w:t>
            </w:r>
          </w:p>
        </w:tc>
      </w:tr>
      <w:tr w:rsidR="00F01289" w14:paraId="2C1CE87C" w14:textId="77777777">
        <w:trPr>
          <w:trHeight w:val="706"/>
        </w:trPr>
        <w:tc>
          <w:tcPr>
            <w:tcW w:w="1296" w:type="dxa"/>
          </w:tcPr>
          <w:p w14:paraId="5C1C41BE"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2</w:t>
            </w:r>
          </w:p>
        </w:tc>
        <w:tc>
          <w:tcPr>
            <w:tcW w:w="4796" w:type="dxa"/>
          </w:tcPr>
          <w:p w14:paraId="4312EE84"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企业年金备案的函</w:t>
            </w:r>
          </w:p>
        </w:tc>
        <w:tc>
          <w:tcPr>
            <w:tcW w:w="2170" w:type="dxa"/>
          </w:tcPr>
          <w:p w14:paraId="48550549"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w:t>
            </w:r>
          </w:p>
        </w:tc>
        <w:tc>
          <w:tcPr>
            <w:tcW w:w="2678" w:type="dxa"/>
          </w:tcPr>
          <w:p w14:paraId="00B8985E"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原件</w:t>
            </w: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份</w:t>
            </w:r>
          </w:p>
        </w:tc>
        <w:tc>
          <w:tcPr>
            <w:tcW w:w="2818" w:type="dxa"/>
          </w:tcPr>
          <w:p w14:paraId="44B9EF44"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申请人自备</w:t>
            </w:r>
          </w:p>
        </w:tc>
      </w:tr>
      <w:tr w:rsidR="00F01289" w14:paraId="42D02E0F" w14:textId="77777777">
        <w:trPr>
          <w:trHeight w:val="706"/>
        </w:trPr>
        <w:tc>
          <w:tcPr>
            <w:tcW w:w="1296" w:type="dxa"/>
          </w:tcPr>
          <w:p w14:paraId="6C0FA7BF"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3</w:t>
            </w:r>
          </w:p>
        </w:tc>
        <w:tc>
          <w:tcPr>
            <w:tcW w:w="4796" w:type="dxa"/>
          </w:tcPr>
          <w:p w14:paraId="2FA34E43"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职工代表大会决议</w:t>
            </w:r>
          </w:p>
        </w:tc>
        <w:tc>
          <w:tcPr>
            <w:tcW w:w="2170" w:type="dxa"/>
          </w:tcPr>
          <w:p w14:paraId="26FE2E31"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w:t>
            </w:r>
          </w:p>
        </w:tc>
        <w:tc>
          <w:tcPr>
            <w:tcW w:w="2678" w:type="dxa"/>
          </w:tcPr>
          <w:p w14:paraId="003EDD14"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原件</w:t>
            </w: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份</w:t>
            </w:r>
          </w:p>
        </w:tc>
        <w:tc>
          <w:tcPr>
            <w:tcW w:w="2818" w:type="dxa"/>
          </w:tcPr>
          <w:p w14:paraId="06B4027D" w14:textId="77777777" w:rsidR="00F01289" w:rsidRDefault="00D508A1">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申请人自备</w:t>
            </w:r>
          </w:p>
        </w:tc>
      </w:tr>
    </w:tbl>
    <w:p w14:paraId="4783C397" w14:textId="77777777" w:rsidR="00F01289" w:rsidRDefault="00D508A1">
      <w:pPr>
        <w:numPr>
          <w:ilvl w:val="0"/>
          <w:numId w:val="2"/>
        </w:numPr>
        <w:spacing w:line="360" w:lineRule="auto"/>
        <w:rPr>
          <w:rFonts w:ascii="黑体" w:eastAsia="黑体" w:hAnsi="黑体" w:cs="黑体" w:hint="eastAsia"/>
          <w:color w:val="333333"/>
          <w:sz w:val="24"/>
          <w:shd w:val="clear" w:color="auto" w:fill="FFFFFF"/>
        </w:rPr>
      </w:pPr>
      <w:r>
        <w:rPr>
          <w:rFonts w:ascii="黑体" w:eastAsia="黑体" w:hAnsi="黑体" w:cs="黑体" w:hint="eastAsia"/>
          <w:sz w:val="28"/>
          <w:szCs w:val="28"/>
        </w:rPr>
        <w:t>办理流程</w:t>
      </w:r>
    </w:p>
    <w:p w14:paraId="24F353B8" w14:textId="77777777" w:rsidR="00F01289" w:rsidRDefault="00D508A1">
      <w:pPr>
        <w:numPr>
          <w:ilvl w:val="0"/>
          <w:numId w:val="3"/>
        </w:numPr>
        <w:spacing w:line="360" w:lineRule="auto"/>
        <w:rPr>
          <w:rFonts w:ascii="黑体" w:eastAsia="黑体" w:hAnsi="黑体" w:cs="黑体" w:hint="eastAsia"/>
          <w:sz w:val="28"/>
          <w:szCs w:val="28"/>
        </w:rPr>
      </w:pPr>
      <w:r>
        <w:rPr>
          <w:rFonts w:ascii="黑体" w:eastAsia="黑体" w:hAnsi="黑体" w:cs="黑体" w:hint="eastAsia"/>
          <w:sz w:val="28"/>
          <w:szCs w:val="28"/>
        </w:rPr>
        <w:lastRenderedPageBreak/>
        <w:t>线上流程</w:t>
      </w:r>
    </w:p>
    <w:p w14:paraId="25DF87D9" w14:textId="77777777" w:rsidR="00F01289" w:rsidRDefault="00D508A1">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申请：申请人登录线上办理渠道向社保经办机构提出申请，提交材料；</w:t>
      </w:r>
    </w:p>
    <w:p w14:paraId="0B6B46AF" w14:textId="77777777" w:rsidR="00F01289" w:rsidRDefault="00D508A1">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2.</w:t>
      </w:r>
      <w:r>
        <w:rPr>
          <w:rFonts w:ascii="黑体" w:eastAsia="黑体" w:hAnsi="黑体" w:cs="黑体" w:hint="eastAsia"/>
          <w:color w:val="333333"/>
          <w:sz w:val="24"/>
          <w:shd w:val="clear" w:color="auto" w:fill="FFFFFF"/>
        </w:rPr>
        <w:t>受理：经办人员对材料完整性及受理条件符合性进行审核；</w:t>
      </w:r>
      <w:r>
        <w:rPr>
          <w:rFonts w:ascii="黑体" w:eastAsia="黑体" w:hAnsi="黑体" w:cs="黑体" w:hint="eastAsia"/>
          <w:color w:val="333333"/>
          <w:sz w:val="24"/>
          <w:shd w:val="clear" w:color="auto" w:fill="FFFFFF"/>
        </w:rPr>
        <w:t xml:space="preserve"> </w:t>
      </w:r>
    </w:p>
    <w:p w14:paraId="2D83598E" w14:textId="77777777" w:rsidR="00F01289" w:rsidRDefault="00D508A1">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3.</w:t>
      </w:r>
      <w:r>
        <w:rPr>
          <w:rFonts w:ascii="黑体" w:eastAsia="黑体" w:hAnsi="黑体" w:cs="黑体" w:hint="eastAsia"/>
          <w:color w:val="333333"/>
          <w:sz w:val="24"/>
          <w:shd w:val="clear" w:color="auto" w:fill="FFFFFF"/>
        </w:rPr>
        <w:t>决定：符合条件的，予以办结并反馈结果。</w:t>
      </w:r>
    </w:p>
    <w:p w14:paraId="230F55FC" w14:textId="77777777" w:rsidR="00F01289" w:rsidRDefault="00D508A1">
      <w:pPr>
        <w:spacing w:line="360" w:lineRule="auto"/>
        <w:rPr>
          <w:rFonts w:ascii="黑体" w:eastAsia="黑体" w:hAnsi="黑体" w:cs="黑体" w:hint="eastAsia"/>
          <w:sz w:val="28"/>
          <w:szCs w:val="28"/>
        </w:rPr>
      </w:pPr>
      <w:r>
        <w:rPr>
          <w:rFonts w:ascii="黑体" w:eastAsia="黑体" w:hAnsi="黑体" w:cs="黑体" w:hint="eastAsia"/>
          <w:sz w:val="28"/>
          <w:szCs w:val="28"/>
        </w:rPr>
        <w:t>（二）线下流程</w:t>
      </w:r>
    </w:p>
    <w:p w14:paraId="1E625D45" w14:textId="77777777" w:rsidR="00F01289" w:rsidRDefault="00D508A1">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申请：申请人向社保经办机构提出申请，提交材料；</w:t>
      </w:r>
    </w:p>
    <w:p w14:paraId="3EA0E6CD" w14:textId="77777777" w:rsidR="00F01289" w:rsidRDefault="00D508A1">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2.</w:t>
      </w:r>
      <w:r>
        <w:rPr>
          <w:rFonts w:ascii="黑体" w:eastAsia="黑体" w:hAnsi="黑体" w:cs="黑体" w:hint="eastAsia"/>
          <w:color w:val="333333"/>
          <w:sz w:val="24"/>
          <w:shd w:val="clear" w:color="auto" w:fill="FFFFFF"/>
        </w:rPr>
        <w:t>受理：经办人员对材料完整性及受理条件符合性进行审核；</w:t>
      </w:r>
      <w:r>
        <w:rPr>
          <w:rFonts w:ascii="黑体" w:eastAsia="黑体" w:hAnsi="黑体" w:cs="黑体" w:hint="eastAsia"/>
          <w:color w:val="333333"/>
          <w:sz w:val="24"/>
          <w:shd w:val="clear" w:color="auto" w:fill="FFFFFF"/>
        </w:rPr>
        <w:t xml:space="preserve"> </w:t>
      </w:r>
    </w:p>
    <w:p w14:paraId="3DC30BEF" w14:textId="77777777" w:rsidR="00F01289" w:rsidRDefault="00D508A1">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3.</w:t>
      </w:r>
      <w:r>
        <w:rPr>
          <w:rFonts w:ascii="黑体" w:eastAsia="黑体" w:hAnsi="黑体" w:cs="黑体" w:hint="eastAsia"/>
          <w:color w:val="333333"/>
          <w:sz w:val="24"/>
          <w:shd w:val="clear" w:color="auto" w:fill="FFFFFF"/>
        </w:rPr>
        <w:t>决定：符合条件的，予以办结并反馈结果。</w:t>
      </w:r>
    </w:p>
    <w:p w14:paraId="7EAD91E8" w14:textId="77777777" w:rsidR="00F01289" w:rsidRDefault="00D508A1">
      <w:pPr>
        <w:spacing w:line="360" w:lineRule="auto"/>
        <w:rPr>
          <w:rFonts w:ascii="黑体" w:eastAsia="黑体" w:hAnsi="黑体" w:cs="黑体" w:hint="eastAsia"/>
          <w:sz w:val="28"/>
          <w:szCs w:val="28"/>
        </w:rPr>
      </w:pPr>
      <w:r>
        <w:rPr>
          <w:rFonts w:ascii="黑体" w:eastAsia="黑体" w:hAnsi="黑体" w:cs="黑体" w:hint="eastAsia"/>
          <w:sz w:val="28"/>
          <w:szCs w:val="28"/>
        </w:rPr>
        <w:t>十、常见问题</w:t>
      </w:r>
      <w:r>
        <w:rPr>
          <w:rFonts w:ascii="黑体" w:eastAsia="黑体" w:hAnsi="黑体" w:cs="黑体" w:hint="eastAsia"/>
          <w:sz w:val="28"/>
          <w:szCs w:val="28"/>
        </w:rPr>
        <w:t>及相关政策宣传</w:t>
      </w:r>
    </w:p>
    <w:p w14:paraId="63C3796D" w14:textId="77777777" w:rsidR="00F01289" w:rsidRDefault="00D508A1">
      <w:pPr>
        <w:pStyle w:val="a3"/>
        <w:widowControl/>
        <w:spacing w:line="360" w:lineRule="atLeast"/>
        <w:ind w:firstLine="480"/>
        <w:jc w:val="both"/>
      </w:pPr>
      <w:r>
        <w:rPr>
          <w:rFonts w:ascii="宋体" w:eastAsia="宋体" w:hAnsi="宋体" w:cs="宋体" w:hint="eastAsia"/>
          <w:b/>
          <w:color w:val="000000"/>
        </w:rPr>
        <w:t>1.</w:t>
      </w:r>
      <w:r>
        <w:rPr>
          <w:rFonts w:ascii="宋体" w:eastAsia="宋体" w:hAnsi="宋体" w:cs="宋体" w:hint="eastAsia"/>
          <w:b/>
          <w:color w:val="000000"/>
        </w:rPr>
        <w:t>建立企业年金对企业及其职工有什么作用？覆盖范围有哪些？</w:t>
      </w:r>
    </w:p>
    <w:p w14:paraId="5D162615" w14:textId="77777777" w:rsidR="00F01289" w:rsidRDefault="00D508A1">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企业年金是企业及其职工在依法参加基本养老保险的基础上，通过集体协商自主建立的补充养老保险制度，是我国多层次养老保险制度体系中第二支柱的重要组成部分。企业建立企业年金，有利于</w:t>
      </w:r>
      <w:proofErr w:type="gramStart"/>
      <w:r>
        <w:rPr>
          <w:rFonts w:ascii="宋体" w:eastAsia="宋体" w:hAnsi="宋体" w:cs="宋体" w:hint="eastAsia"/>
          <w:color w:val="000000"/>
        </w:rPr>
        <w:t>完善职工薪酬</w:t>
      </w:r>
      <w:proofErr w:type="gramEnd"/>
      <w:r>
        <w:rPr>
          <w:rFonts w:ascii="宋体" w:eastAsia="宋体" w:hAnsi="宋体" w:cs="宋体" w:hint="eastAsia"/>
          <w:color w:val="000000"/>
        </w:rPr>
        <w:t>体系，展现企业良好文化、增强人才吸引力、稳定职工队伍。职工参加企业年金，有利于在基本养老保险的基础上，另外增加一份养老积累，进一步提高退休后的收入水平和生活质量。《企业年金办法》主要适用于企业及其职工。需要说明的是，经过多年的改革发展，企业职工基本养老保险已覆盖城镇各类企业及其职工、社会组织及其专职工作人员、机关事业单位编制外工作人员等。《办法》规定，参加企业职工基本养老保险的其他用人</w:t>
      </w:r>
      <w:r>
        <w:rPr>
          <w:rFonts w:ascii="宋体" w:eastAsia="宋体" w:hAnsi="宋体" w:cs="宋体" w:hint="eastAsia"/>
          <w:color w:val="000000"/>
        </w:rPr>
        <w:lastRenderedPageBreak/>
        <w:t>单位及其职工建立补充养老保险的，参照本办法执行。因此，只要参加了企业职工基本养老保险的用人单位及其职工，都可以建立企业年金制度。</w:t>
      </w:r>
    </w:p>
    <w:p w14:paraId="35BFEB84" w14:textId="77777777" w:rsidR="00F01289" w:rsidRDefault="00D508A1">
      <w:pPr>
        <w:pStyle w:val="a3"/>
        <w:widowControl/>
        <w:spacing w:line="360" w:lineRule="atLeast"/>
        <w:ind w:firstLine="480"/>
        <w:jc w:val="both"/>
      </w:pPr>
      <w:r>
        <w:rPr>
          <w:rFonts w:ascii="宋体" w:eastAsia="宋体" w:hAnsi="宋体" w:cs="宋体" w:hint="eastAsia"/>
          <w:b/>
          <w:color w:val="000000"/>
        </w:rPr>
        <w:t>2.</w:t>
      </w:r>
      <w:r>
        <w:rPr>
          <w:rFonts w:ascii="宋体" w:eastAsia="宋体" w:hAnsi="宋体" w:cs="宋体" w:hint="eastAsia"/>
          <w:b/>
          <w:color w:val="000000"/>
        </w:rPr>
        <w:t>建立企业年金有什么条件和程序？</w:t>
      </w:r>
    </w:p>
    <w:p w14:paraId="1EBAF269" w14:textId="77777777" w:rsidR="00F01289" w:rsidRDefault="00D508A1">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企业和职工建立企业年金，应当依法参加基本养老保险并履行缴费义务，企业具有相应的经济负担能力。</w:t>
      </w:r>
    </w:p>
    <w:p w14:paraId="04F25641" w14:textId="77777777" w:rsidR="00F01289" w:rsidRDefault="00D508A1">
      <w:pPr>
        <w:pStyle w:val="a3"/>
        <w:widowControl/>
        <w:spacing w:line="360" w:lineRule="atLeast"/>
        <w:ind w:firstLine="480"/>
        <w:jc w:val="both"/>
      </w:pPr>
      <w:r>
        <w:rPr>
          <w:rFonts w:ascii="宋体" w:eastAsia="宋体" w:hAnsi="宋体" w:cs="宋体" w:hint="eastAsia"/>
          <w:color w:val="000000"/>
        </w:rPr>
        <w:t>企业和职工一方通过集体协商确定建立企业年金，而后制定企业年金方案。企业年金方案应当提交职工大会或者职工代表大会讨论通过，并报送所在地县级以上人力资源社会保障行政部门。</w:t>
      </w:r>
    </w:p>
    <w:p w14:paraId="5FE3A040" w14:textId="77777777" w:rsidR="00F01289" w:rsidRDefault="00D508A1">
      <w:pPr>
        <w:pStyle w:val="a3"/>
        <w:widowControl/>
        <w:spacing w:line="360" w:lineRule="atLeast"/>
        <w:ind w:firstLine="480"/>
        <w:jc w:val="both"/>
      </w:pPr>
      <w:r>
        <w:rPr>
          <w:rFonts w:ascii="宋体" w:eastAsia="宋体" w:hAnsi="宋体" w:cs="宋体" w:hint="eastAsia"/>
          <w:color w:val="000000"/>
        </w:rPr>
        <w:t>企业年金遵循信托法原则。企业年金方案备案后，企业和职工（合称委托人）应当选定企业年金受托人（符合国家规定的法人受托机构或者企业按照国家规定成立的企业年金理事会），由企业代表委托人与受托人签订受托管理合同。受托管理合同签订后，受托人应当委托具有企业年金管理资格的账户管理人、投资管理人和托管人，负责企业年金基金的账户管理、投资运营和托管。企业年金基金管理人按照国家规定分工协作，共同实现企业年金基金的依法合</w:t>
      </w:r>
      <w:proofErr w:type="gramStart"/>
      <w:r>
        <w:rPr>
          <w:rFonts w:ascii="宋体" w:eastAsia="宋体" w:hAnsi="宋体" w:cs="宋体" w:hint="eastAsia"/>
          <w:color w:val="000000"/>
        </w:rPr>
        <w:t>规</w:t>
      </w:r>
      <w:proofErr w:type="gramEnd"/>
      <w:r>
        <w:rPr>
          <w:rFonts w:ascii="宋体" w:eastAsia="宋体" w:hAnsi="宋体" w:cs="宋体" w:hint="eastAsia"/>
          <w:color w:val="000000"/>
        </w:rPr>
        <w:t>运营和保值增值。</w:t>
      </w:r>
    </w:p>
    <w:p w14:paraId="3A87B0A2" w14:textId="77777777" w:rsidR="00F01289" w:rsidRDefault="00D508A1">
      <w:pPr>
        <w:pStyle w:val="a3"/>
        <w:widowControl/>
        <w:spacing w:line="360" w:lineRule="atLeast"/>
        <w:ind w:firstLine="480"/>
        <w:jc w:val="both"/>
      </w:pPr>
      <w:r>
        <w:rPr>
          <w:rFonts w:ascii="宋体" w:eastAsia="宋体" w:hAnsi="宋体" w:cs="宋体" w:hint="eastAsia"/>
          <w:b/>
          <w:color w:val="000000"/>
        </w:rPr>
        <w:t>3.</w:t>
      </w:r>
      <w:r>
        <w:rPr>
          <w:rFonts w:ascii="宋体" w:eastAsia="宋体" w:hAnsi="宋体" w:cs="宋体" w:hint="eastAsia"/>
          <w:b/>
          <w:color w:val="000000"/>
        </w:rPr>
        <w:t>企业年金方案应包括哪些内容？是否可以变更、终止？</w:t>
      </w:r>
    </w:p>
    <w:p w14:paraId="02901A96" w14:textId="77777777" w:rsidR="00F01289" w:rsidRDefault="00D508A1">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企业年金方案应当包括参加人员、资金筹集与分配的比例和办法、账户管理、权益归属、基金管理、待遇计发和支付方式、方案的变更和终止、组织管理和监督方式、双方约定的其他事项等内容。</w:t>
      </w:r>
    </w:p>
    <w:p w14:paraId="6D5896E6" w14:textId="77777777" w:rsidR="00F01289" w:rsidRDefault="00D508A1">
      <w:pPr>
        <w:pStyle w:val="a3"/>
        <w:widowControl/>
        <w:spacing w:line="360" w:lineRule="atLeast"/>
        <w:ind w:firstLine="480"/>
        <w:jc w:val="both"/>
      </w:pPr>
      <w:r>
        <w:rPr>
          <w:rFonts w:ascii="宋体" w:eastAsia="宋体" w:hAnsi="宋体" w:cs="宋体" w:hint="eastAsia"/>
          <w:color w:val="000000"/>
        </w:rPr>
        <w:t>实践中，企业确实有变更和终止企业年金方案的需求。《办法》规定，企业与职工一方可以根据本企业情况，按照国家政策规定，经协商一致，变更企业年金方案。企业因依法解散、被依法撤销、被依法宣告破产或者因不可抗力等原因，致使企业年金方案无法履行的，以及企业年金方案约定的其他终止条件出现的，企业年金方案终止。企业年金方案变更和终止所需材料，按照《人力资源社会保障部办公厅关于进一步做好企业年金方案备案工作的意见》（</w:t>
      </w:r>
      <w:proofErr w:type="gramStart"/>
      <w:r>
        <w:rPr>
          <w:rFonts w:ascii="宋体" w:eastAsia="宋体" w:hAnsi="宋体" w:cs="宋体" w:hint="eastAsia"/>
          <w:color w:val="000000"/>
        </w:rPr>
        <w:t>人社厅</w:t>
      </w:r>
      <w:proofErr w:type="gramEnd"/>
      <w:r>
        <w:rPr>
          <w:rFonts w:ascii="宋体" w:eastAsia="宋体" w:hAnsi="宋体" w:cs="宋体" w:hint="eastAsia"/>
          <w:color w:val="000000"/>
        </w:rPr>
        <w:t>发〔</w:t>
      </w:r>
      <w:r>
        <w:rPr>
          <w:rFonts w:ascii="宋体" w:eastAsia="宋体" w:hAnsi="宋体" w:cs="宋体" w:hint="eastAsia"/>
          <w:color w:val="000000"/>
        </w:rPr>
        <w:t>2014</w:t>
      </w:r>
      <w:r>
        <w:rPr>
          <w:rFonts w:ascii="宋体" w:eastAsia="宋体" w:hAnsi="宋体" w:cs="宋体" w:hint="eastAsia"/>
          <w:color w:val="000000"/>
        </w:rPr>
        <w:t>〕</w:t>
      </w:r>
      <w:r>
        <w:rPr>
          <w:rFonts w:ascii="宋体" w:eastAsia="宋体" w:hAnsi="宋体" w:cs="宋体" w:hint="eastAsia"/>
          <w:color w:val="000000"/>
        </w:rPr>
        <w:t>60</w:t>
      </w:r>
      <w:r>
        <w:rPr>
          <w:rFonts w:ascii="宋体" w:eastAsia="宋体" w:hAnsi="宋体" w:cs="宋体" w:hint="eastAsia"/>
          <w:color w:val="000000"/>
        </w:rPr>
        <w:t>号）规定执行。</w:t>
      </w:r>
    </w:p>
    <w:p w14:paraId="7AA1EE6A" w14:textId="77777777" w:rsidR="00F01289" w:rsidRDefault="00D508A1">
      <w:pPr>
        <w:pStyle w:val="a3"/>
        <w:widowControl/>
        <w:spacing w:line="360" w:lineRule="atLeast"/>
        <w:ind w:firstLine="480"/>
        <w:jc w:val="both"/>
      </w:pPr>
      <w:r>
        <w:rPr>
          <w:rFonts w:ascii="宋体" w:eastAsia="宋体" w:hAnsi="宋体" w:cs="宋体" w:hint="eastAsia"/>
          <w:b/>
          <w:color w:val="000000"/>
        </w:rPr>
        <w:t>4.</w:t>
      </w:r>
      <w:r>
        <w:rPr>
          <w:rFonts w:ascii="宋体" w:eastAsia="宋体" w:hAnsi="宋体" w:cs="宋体" w:hint="eastAsia"/>
          <w:b/>
          <w:color w:val="000000"/>
        </w:rPr>
        <w:t>企业年金的资金来源和筹资规模是如何规定的？</w:t>
      </w:r>
    </w:p>
    <w:p w14:paraId="314448D4" w14:textId="77777777" w:rsidR="00F01289" w:rsidRDefault="00D508A1">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企业年金所需费用由企业和职工个人共同缴纳。企业缴费每年不超过本企业职工工资总额的</w:t>
      </w:r>
      <w:r>
        <w:rPr>
          <w:rFonts w:ascii="宋体" w:eastAsia="宋体" w:hAnsi="宋体" w:cs="宋体" w:hint="eastAsia"/>
          <w:color w:val="000000"/>
        </w:rPr>
        <w:t>8%</w:t>
      </w:r>
      <w:r>
        <w:rPr>
          <w:rFonts w:ascii="宋体" w:eastAsia="宋体" w:hAnsi="宋体" w:cs="宋体" w:hint="eastAsia"/>
          <w:color w:val="000000"/>
        </w:rPr>
        <w:t>，企业和职工个人缴费合计不超过本企业职工工资总额的</w:t>
      </w:r>
      <w:r>
        <w:rPr>
          <w:rFonts w:ascii="宋体" w:eastAsia="宋体" w:hAnsi="宋体" w:cs="宋体" w:hint="eastAsia"/>
          <w:color w:val="000000"/>
        </w:rPr>
        <w:t>12%</w:t>
      </w:r>
      <w:r>
        <w:rPr>
          <w:rFonts w:ascii="宋体" w:eastAsia="宋体" w:hAnsi="宋体" w:cs="宋体" w:hint="eastAsia"/>
          <w:color w:val="000000"/>
        </w:rPr>
        <w:t>。具体所需费用，由企业和职工一方协商确定。</w:t>
      </w:r>
    </w:p>
    <w:p w14:paraId="23AAAB48" w14:textId="77777777" w:rsidR="00F01289" w:rsidRDefault="00D508A1">
      <w:pPr>
        <w:pStyle w:val="a3"/>
        <w:widowControl/>
        <w:spacing w:line="360" w:lineRule="atLeast"/>
        <w:ind w:firstLine="480"/>
        <w:jc w:val="both"/>
      </w:pPr>
      <w:r>
        <w:rPr>
          <w:rFonts w:ascii="宋体" w:eastAsia="宋体" w:hAnsi="宋体" w:cs="宋体" w:hint="eastAsia"/>
          <w:color w:val="000000"/>
        </w:rPr>
        <w:t>职工个人缴费由企业从职工个人工资中代扣代缴。</w:t>
      </w:r>
    </w:p>
    <w:p w14:paraId="6579C0D2" w14:textId="77777777" w:rsidR="00F01289" w:rsidRDefault="00D508A1">
      <w:pPr>
        <w:pStyle w:val="a3"/>
        <w:widowControl/>
        <w:spacing w:line="360" w:lineRule="atLeast"/>
        <w:ind w:firstLine="480"/>
        <w:jc w:val="both"/>
      </w:pPr>
      <w:r>
        <w:rPr>
          <w:rFonts w:ascii="宋体" w:eastAsia="宋体" w:hAnsi="宋体" w:cs="宋体" w:hint="eastAsia"/>
          <w:b/>
          <w:color w:val="000000"/>
        </w:rPr>
        <w:t>5.</w:t>
      </w:r>
      <w:r>
        <w:rPr>
          <w:rFonts w:ascii="宋体" w:eastAsia="宋体" w:hAnsi="宋体" w:cs="宋体" w:hint="eastAsia"/>
          <w:b/>
          <w:color w:val="000000"/>
        </w:rPr>
        <w:t>企业年金缴费如何分配？</w:t>
      </w:r>
    </w:p>
    <w:p w14:paraId="0AE72610" w14:textId="77777777" w:rsidR="00F01289" w:rsidRDefault="00D508A1">
      <w:pPr>
        <w:pStyle w:val="a3"/>
        <w:widowControl/>
        <w:spacing w:line="360" w:lineRule="atLeast"/>
        <w:ind w:firstLine="480"/>
        <w:jc w:val="both"/>
      </w:pPr>
      <w:r>
        <w:rPr>
          <w:rFonts w:ascii="宋体" w:eastAsia="宋体" w:hAnsi="宋体" w:cs="宋体" w:hint="eastAsia"/>
          <w:b/>
          <w:color w:val="000000"/>
        </w:rPr>
        <w:lastRenderedPageBreak/>
        <w:t>答：</w:t>
      </w:r>
      <w:r>
        <w:rPr>
          <w:rFonts w:ascii="宋体" w:eastAsia="宋体" w:hAnsi="宋体" w:cs="宋体" w:hint="eastAsia"/>
          <w:color w:val="000000"/>
        </w:rPr>
        <w:t>企业缴费应当按照企业年金方案确定的比例和办法计入职工企业年金个人账户，职工个人缴费计入本人企业年金个人账户。企业可以根据职工岗位、责任和贡献等不同，在分配企业缴费时存在一定的区别，体现企业年金的激励作用；同时也应兼顾公平、控制差距，企业当期缴费计入职工企业年金个人账户的</w:t>
      </w:r>
      <w:proofErr w:type="gramStart"/>
      <w:r>
        <w:rPr>
          <w:rFonts w:ascii="宋体" w:eastAsia="宋体" w:hAnsi="宋体" w:cs="宋体" w:hint="eastAsia"/>
          <w:color w:val="000000"/>
        </w:rPr>
        <w:t>最</w:t>
      </w:r>
      <w:proofErr w:type="gramEnd"/>
      <w:r>
        <w:rPr>
          <w:rFonts w:ascii="宋体" w:eastAsia="宋体" w:hAnsi="宋体" w:cs="宋体" w:hint="eastAsia"/>
          <w:color w:val="000000"/>
        </w:rPr>
        <w:t>高额不得超过平均额的</w:t>
      </w:r>
      <w:r>
        <w:rPr>
          <w:rFonts w:ascii="宋体" w:eastAsia="宋体" w:hAnsi="宋体" w:cs="宋体" w:hint="eastAsia"/>
          <w:color w:val="000000"/>
        </w:rPr>
        <w:t>5</w:t>
      </w:r>
      <w:r>
        <w:rPr>
          <w:rFonts w:ascii="宋体" w:eastAsia="宋体" w:hAnsi="宋体" w:cs="宋体" w:hint="eastAsia"/>
          <w:color w:val="000000"/>
        </w:rPr>
        <w:t>倍。</w:t>
      </w:r>
    </w:p>
    <w:p w14:paraId="60ABEB42" w14:textId="77777777" w:rsidR="00F01289" w:rsidRDefault="00D508A1">
      <w:pPr>
        <w:pStyle w:val="a3"/>
        <w:widowControl/>
        <w:spacing w:line="360" w:lineRule="atLeast"/>
        <w:ind w:firstLine="480"/>
        <w:jc w:val="both"/>
      </w:pPr>
      <w:r>
        <w:rPr>
          <w:rFonts w:ascii="宋体" w:eastAsia="宋体" w:hAnsi="宋体" w:cs="宋体" w:hint="eastAsia"/>
          <w:b/>
          <w:color w:val="000000"/>
        </w:rPr>
        <w:t>6.</w:t>
      </w:r>
      <w:r>
        <w:rPr>
          <w:rFonts w:ascii="宋体" w:eastAsia="宋体" w:hAnsi="宋体" w:cs="宋体" w:hint="eastAsia"/>
          <w:b/>
          <w:color w:val="000000"/>
        </w:rPr>
        <w:t>企业年金权益归属问题是如何规定的？</w:t>
      </w:r>
    </w:p>
    <w:p w14:paraId="3E6D2CB3" w14:textId="77777777" w:rsidR="00F01289" w:rsidRDefault="00D508A1">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实践中，对于职工企业年金个人账户中企业缴费及其投资收益，企业年金方案普遍设置了归属于职工个人的规则，但一些企业年金方案设置的归属规则不够合理，不利于保护职工权益。《办法》兼顾了企业和职工双方的权利和义务，规定企业与职工一方协商，可以规定职工企业年金个人账户中的企业缴费及其投资收益自始归属于职工个人，也可以规定随着职工在本企业工作年限的增加逐步归属于职工个人，全部归属于职工的期限不超过</w:t>
      </w:r>
      <w:r>
        <w:rPr>
          <w:rFonts w:ascii="宋体" w:eastAsia="宋体" w:hAnsi="宋体" w:cs="宋体" w:hint="eastAsia"/>
          <w:color w:val="000000"/>
        </w:rPr>
        <w:t>8</w:t>
      </w:r>
      <w:r>
        <w:rPr>
          <w:rFonts w:ascii="宋体" w:eastAsia="宋体" w:hAnsi="宋体" w:cs="宋体" w:hint="eastAsia"/>
          <w:color w:val="000000"/>
        </w:rPr>
        <w:t>年，并明确了几种例外情形。</w:t>
      </w:r>
    </w:p>
    <w:p w14:paraId="7D58B42D" w14:textId="77777777" w:rsidR="00F01289" w:rsidRDefault="00D508A1">
      <w:pPr>
        <w:pStyle w:val="a3"/>
        <w:widowControl/>
        <w:spacing w:line="360" w:lineRule="atLeast"/>
        <w:ind w:firstLine="480"/>
        <w:jc w:val="both"/>
      </w:pPr>
      <w:r>
        <w:rPr>
          <w:rFonts w:ascii="宋体" w:eastAsia="宋体" w:hAnsi="宋体" w:cs="宋体" w:hint="eastAsia"/>
          <w:b/>
          <w:color w:val="000000"/>
        </w:rPr>
        <w:t>7.</w:t>
      </w:r>
      <w:r>
        <w:rPr>
          <w:rFonts w:ascii="宋体" w:eastAsia="宋体" w:hAnsi="宋体" w:cs="宋体" w:hint="eastAsia"/>
          <w:b/>
          <w:color w:val="000000"/>
        </w:rPr>
        <w:t>职工什么情况下可以领取企业年金待遇？</w:t>
      </w:r>
    </w:p>
    <w:p w14:paraId="4F052ACB" w14:textId="77777777" w:rsidR="00F01289" w:rsidRDefault="00D508A1">
      <w:pPr>
        <w:pStyle w:val="a3"/>
        <w:widowControl/>
        <w:spacing w:line="360" w:lineRule="atLeast"/>
        <w:ind w:firstLine="480"/>
        <w:jc w:val="both"/>
      </w:pPr>
      <w:r>
        <w:rPr>
          <w:rFonts w:ascii="宋体" w:eastAsia="宋体" w:hAnsi="宋体" w:cs="宋体" w:hint="eastAsia"/>
          <w:b/>
          <w:color w:val="000000"/>
        </w:rPr>
        <w:t>答：</w:t>
      </w:r>
      <w:r>
        <w:rPr>
          <w:rFonts w:ascii="宋体" w:eastAsia="宋体" w:hAnsi="宋体" w:cs="宋体" w:hint="eastAsia"/>
          <w:color w:val="000000"/>
        </w:rPr>
        <w:t>《办法》规定，职工在达到国家规定的退休年龄、完全丧失劳动能力、出国（境）定居时，可以领取企业年金；职工或者退休人员死亡后，其企业年金个人账户余额可以继承。其中，职工完全丧失劳动能力时可以领取企业年金是新增内容，这有利于进一步体现企业年金的保障作用，适当改善完全丧失劳动能力职工的生活。</w:t>
      </w:r>
    </w:p>
    <w:p w14:paraId="14477EBF" w14:textId="77777777" w:rsidR="00F01289" w:rsidRDefault="00D508A1">
      <w:pPr>
        <w:pStyle w:val="a3"/>
        <w:widowControl/>
        <w:spacing w:line="360" w:lineRule="atLeast"/>
        <w:ind w:firstLine="480"/>
        <w:jc w:val="both"/>
      </w:pPr>
      <w:r>
        <w:rPr>
          <w:rFonts w:ascii="宋体" w:eastAsia="宋体" w:hAnsi="宋体" w:cs="宋体" w:hint="eastAsia"/>
          <w:b/>
          <w:color w:val="000000"/>
        </w:rPr>
        <w:t>8.</w:t>
      </w:r>
      <w:r>
        <w:rPr>
          <w:rFonts w:ascii="宋体" w:eastAsia="宋体" w:hAnsi="宋体" w:cs="宋体" w:hint="eastAsia"/>
          <w:b/>
          <w:color w:val="000000"/>
        </w:rPr>
        <w:t>企业年金的领取方式有哪些？</w:t>
      </w:r>
    </w:p>
    <w:p w14:paraId="15D6266D" w14:textId="77777777" w:rsidR="00F01289" w:rsidRDefault="00D508A1">
      <w:pPr>
        <w:pStyle w:val="a3"/>
        <w:widowControl/>
        <w:spacing w:line="360" w:lineRule="atLeast"/>
        <w:ind w:firstLine="480"/>
        <w:jc w:val="both"/>
        <w:rPr>
          <w:rFonts w:ascii="黑体" w:eastAsia="黑体" w:hAnsi="黑体" w:cs="黑体" w:hint="eastAsia"/>
          <w:sz w:val="28"/>
          <w:szCs w:val="28"/>
        </w:rPr>
      </w:pPr>
      <w:r>
        <w:rPr>
          <w:rFonts w:ascii="宋体" w:eastAsia="宋体" w:hAnsi="宋体" w:cs="宋体" w:hint="eastAsia"/>
          <w:b/>
          <w:color w:val="000000"/>
        </w:rPr>
        <w:t>答：</w:t>
      </w:r>
      <w:r>
        <w:rPr>
          <w:rFonts w:ascii="宋体" w:eastAsia="宋体" w:hAnsi="宋体" w:cs="宋体" w:hint="eastAsia"/>
          <w:color w:val="000000"/>
        </w:rPr>
        <w:t>与职业年金办法基本一致并保持适当灵活性，是企业年金待遇领取方式的特点。一是倡导按月领取，有利于发挥企业年金长期养老保险的作用。二是允许分次领取，有利于退休人员根据本人企业年金个人账户资金额，结合企业年金个人所得税政策和自己的需要，选择合适的领取次数。三是保留了一次性领取方式，更加人性化，给予退休人员更多选择。四是可以购买商业养老保险产品，进一步丰富补充养老保险方式。</w:t>
      </w:r>
    </w:p>
    <w:sectPr w:rsidR="00F0128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F02F9"/>
    <w:multiLevelType w:val="singleLevel"/>
    <w:tmpl w:val="955F02F9"/>
    <w:lvl w:ilvl="0">
      <w:start w:val="9"/>
      <w:numFmt w:val="chineseCounting"/>
      <w:suff w:val="nothing"/>
      <w:lvlText w:val="%1、"/>
      <w:lvlJc w:val="left"/>
      <w:rPr>
        <w:rFonts w:hint="eastAsia"/>
      </w:rPr>
    </w:lvl>
  </w:abstractNum>
  <w:abstractNum w:abstractNumId="1" w15:restartNumberingAfterBreak="0">
    <w:nsid w:val="DFEA35F2"/>
    <w:multiLevelType w:val="singleLevel"/>
    <w:tmpl w:val="DFEA35F2"/>
    <w:lvl w:ilvl="0">
      <w:start w:val="1"/>
      <w:numFmt w:val="chineseCounting"/>
      <w:suff w:val="nothing"/>
      <w:lvlText w:val="（%1）"/>
      <w:lvlJc w:val="left"/>
      <w:rPr>
        <w:rFonts w:hint="eastAsia"/>
      </w:rPr>
    </w:lvl>
  </w:abstractNum>
  <w:abstractNum w:abstractNumId="2" w15:restartNumberingAfterBreak="0">
    <w:nsid w:val="45C9636F"/>
    <w:multiLevelType w:val="singleLevel"/>
    <w:tmpl w:val="45C9636F"/>
    <w:lvl w:ilvl="0">
      <w:start w:val="1"/>
      <w:numFmt w:val="chineseCounting"/>
      <w:suff w:val="nothing"/>
      <w:lvlText w:val="%1、"/>
      <w:lvlJc w:val="left"/>
      <w:rPr>
        <w:rFonts w:hint="eastAsia"/>
      </w:rPr>
    </w:lvl>
  </w:abstractNum>
  <w:num w:numId="1" w16cid:durableId="399523415">
    <w:abstractNumId w:val="2"/>
  </w:num>
  <w:num w:numId="2" w16cid:durableId="1053195393">
    <w:abstractNumId w:val="0"/>
  </w:num>
  <w:num w:numId="3" w16cid:durableId="253512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289"/>
    <w:rsid w:val="FEE3D45A"/>
    <w:rsid w:val="FF7F601B"/>
    <w:rsid w:val="00036CCF"/>
    <w:rsid w:val="000B6790"/>
    <w:rsid w:val="001C6E15"/>
    <w:rsid w:val="004E4C61"/>
    <w:rsid w:val="0053555D"/>
    <w:rsid w:val="00740CB7"/>
    <w:rsid w:val="0075191D"/>
    <w:rsid w:val="00763890"/>
    <w:rsid w:val="007A26C8"/>
    <w:rsid w:val="00843837"/>
    <w:rsid w:val="00882C34"/>
    <w:rsid w:val="00A020E9"/>
    <w:rsid w:val="00A969C6"/>
    <w:rsid w:val="00B9002C"/>
    <w:rsid w:val="00BF44F5"/>
    <w:rsid w:val="00CC6D4B"/>
    <w:rsid w:val="00D508A1"/>
    <w:rsid w:val="00D77593"/>
    <w:rsid w:val="00D91DED"/>
    <w:rsid w:val="00DC1A27"/>
    <w:rsid w:val="00F01289"/>
    <w:rsid w:val="00F25BEC"/>
    <w:rsid w:val="017F1BE6"/>
    <w:rsid w:val="02DC7D1C"/>
    <w:rsid w:val="02DD23AA"/>
    <w:rsid w:val="0543192E"/>
    <w:rsid w:val="07EB7719"/>
    <w:rsid w:val="08475C97"/>
    <w:rsid w:val="084A66FA"/>
    <w:rsid w:val="097B5029"/>
    <w:rsid w:val="0AC47A34"/>
    <w:rsid w:val="0CB37195"/>
    <w:rsid w:val="0D267161"/>
    <w:rsid w:val="0DEC2CF6"/>
    <w:rsid w:val="0DF10CC6"/>
    <w:rsid w:val="0E90488D"/>
    <w:rsid w:val="118C227E"/>
    <w:rsid w:val="12041E4B"/>
    <w:rsid w:val="125E127E"/>
    <w:rsid w:val="156D6C9B"/>
    <w:rsid w:val="16016390"/>
    <w:rsid w:val="162838AD"/>
    <w:rsid w:val="18AA124F"/>
    <w:rsid w:val="1A905D1F"/>
    <w:rsid w:val="1B2A0EEA"/>
    <w:rsid w:val="1C061FF6"/>
    <w:rsid w:val="1C811320"/>
    <w:rsid w:val="1C821684"/>
    <w:rsid w:val="1D2B57A6"/>
    <w:rsid w:val="1F0328AE"/>
    <w:rsid w:val="1F3918AE"/>
    <w:rsid w:val="1FC85C82"/>
    <w:rsid w:val="232A0B9E"/>
    <w:rsid w:val="232F044B"/>
    <w:rsid w:val="25157D73"/>
    <w:rsid w:val="25951542"/>
    <w:rsid w:val="299458FA"/>
    <w:rsid w:val="2AD61A9F"/>
    <w:rsid w:val="2CFD76E1"/>
    <w:rsid w:val="2D400B9B"/>
    <w:rsid w:val="2FB92AA1"/>
    <w:rsid w:val="306F3AF7"/>
    <w:rsid w:val="31EE3776"/>
    <w:rsid w:val="324F5D9C"/>
    <w:rsid w:val="32642B16"/>
    <w:rsid w:val="348A210B"/>
    <w:rsid w:val="36605BC1"/>
    <w:rsid w:val="37A6279B"/>
    <w:rsid w:val="3B551814"/>
    <w:rsid w:val="3BA75122"/>
    <w:rsid w:val="3C250B7B"/>
    <w:rsid w:val="3C3C10DB"/>
    <w:rsid w:val="3DBF55E5"/>
    <w:rsid w:val="3EF13C48"/>
    <w:rsid w:val="3F7B31EF"/>
    <w:rsid w:val="3F92540F"/>
    <w:rsid w:val="405453C2"/>
    <w:rsid w:val="40797E36"/>
    <w:rsid w:val="41491181"/>
    <w:rsid w:val="41894859"/>
    <w:rsid w:val="424A6410"/>
    <w:rsid w:val="431245EF"/>
    <w:rsid w:val="44990369"/>
    <w:rsid w:val="44A660DF"/>
    <w:rsid w:val="45AC46CC"/>
    <w:rsid w:val="45E663F2"/>
    <w:rsid w:val="47777892"/>
    <w:rsid w:val="4880237A"/>
    <w:rsid w:val="488F2EB3"/>
    <w:rsid w:val="489D68BB"/>
    <w:rsid w:val="496E7A2D"/>
    <w:rsid w:val="4A1D3236"/>
    <w:rsid w:val="4C4128E9"/>
    <w:rsid w:val="4D2A3094"/>
    <w:rsid w:val="4E7F301E"/>
    <w:rsid w:val="4EA82109"/>
    <w:rsid w:val="4EE960CF"/>
    <w:rsid w:val="4F346184"/>
    <w:rsid w:val="4FD105D8"/>
    <w:rsid w:val="515A7F3C"/>
    <w:rsid w:val="518F3A58"/>
    <w:rsid w:val="550B3C93"/>
    <w:rsid w:val="55233320"/>
    <w:rsid w:val="55453C0C"/>
    <w:rsid w:val="57650EAA"/>
    <w:rsid w:val="57DB5C33"/>
    <w:rsid w:val="5A8F3D6C"/>
    <w:rsid w:val="5CAF3642"/>
    <w:rsid w:val="5CE87E4C"/>
    <w:rsid w:val="5D2678DC"/>
    <w:rsid w:val="5D3F4508"/>
    <w:rsid w:val="5DE6030E"/>
    <w:rsid w:val="5E0D7DF4"/>
    <w:rsid w:val="5EA41C9D"/>
    <w:rsid w:val="5F191A89"/>
    <w:rsid w:val="5F1D7748"/>
    <w:rsid w:val="5FA4377A"/>
    <w:rsid w:val="5FB1D66D"/>
    <w:rsid w:val="607C1AEA"/>
    <w:rsid w:val="60BB2B4F"/>
    <w:rsid w:val="61151F00"/>
    <w:rsid w:val="62CB67FC"/>
    <w:rsid w:val="661D1DB1"/>
    <w:rsid w:val="663F4E40"/>
    <w:rsid w:val="68B37272"/>
    <w:rsid w:val="6A7E7ECA"/>
    <w:rsid w:val="6A9D70FF"/>
    <w:rsid w:val="6B2E52C2"/>
    <w:rsid w:val="6B7569FF"/>
    <w:rsid w:val="6CCB3DBF"/>
    <w:rsid w:val="6D5A3745"/>
    <w:rsid w:val="70E70D96"/>
    <w:rsid w:val="714F16A3"/>
    <w:rsid w:val="71733C3C"/>
    <w:rsid w:val="71D0428C"/>
    <w:rsid w:val="71FB701B"/>
    <w:rsid w:val="721C5DB4"/>
    <w:rsid w:val="72762E78"/>
    <w:rsid w:val="74542937"/>
    <w:rsid w:val="74BD0A6B"/>
    <w:rsid w:val="76706285"/>
    <w:rsid w:val="76981C0F"/>
    <w:rsid w:val="778A0FF9"/>
    <w:rsid w:val="77979856"/>
    <w:rsid w:val="77B7820D"/>
    <w:rsid w:val="780E4F6F"/>
    <w:rsid w:val="79831964"/>
    <w:rsid w:val="7A876F48"/>
    <w:rsid w:val="7BC7D1ED"/>
    <w:rsid w:val="7C8E27D8"/>
    <w:rsid w:val="7DF6550C"/>
    <w:rsid w:val="7FDDB22C"/>
    <w:rsid w:val="C2F8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1AD9F"/>
  <w15:docId w15:val="{A733C633-738B-433A-A717-871431EE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after="0"/>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2506</Words>
  <Characters>195</Characters>
  <Application>Microsoft Office Word</Application>
  <DocSecurity>0</DocSecurity>
  <Lines>6</Lines>
  <Paragraphs>67</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dc:creator>
  <cp:lastModifiedBy>zrar</cp:lastModifiedBy>
  <cp:revision>20</cp:revision>
  <dcterms:created xsi:type="dcterms:W3CDTF">2025-07-30T11:59:00Z</dcterms:created>
  <dcterms:modified xsi:type="dcterms:W3CDTF">2025-10-14T05:07:00Z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