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E11C984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 w:val="0"/>
          <w:color w:val="auto"/>
          <w:sz w:val="44"/>
          <w:szCs w:val="44"/>
          <w:highlight w:val="none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color w:val="auto"/>
          <w:sz w:val="44"/>
          <w:szCs w:val="44"/>
          <w:highlight w:val="none"/>
        </w:rPr>
        <w:t>新疆维吾尔自治区政府补贴性</w:t>
      </w:r>
    </w:p>
    <w:p w14:paraId="614F3193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 w:val="0"/>
          <w:color w:val="auto"/>
          <w:sz w:val="44"/>
          <w:szCs w:val="44"/>
          <w:highlight w:val="none"/>
          <w:lang w:eastAsia="zh-CN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color w:val="auto"/>
          <w:sz w:val="44"/>
          <w:szCs w:val="44"/>
          <w:highlight w:val="none"/>
        </w:rPr>
        <w:t>职业技能培训管理办法</w:t>
      </w:r>
    </w:p>
    <w:p w14:paraId="7975C74D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</w:rPr>
      </w:pPr>
    </w:p>
    <w:p w14:paraId="316B0C8B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center"/>
        <w:textAlignment w:val="auto"/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highlight w:val="none"/>
        </w:rPr>
        <w:t>第一章 总</w:t>
      </w: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highlight w:val="none"/>
          <w:lang w:val="en-US" w:eastAsia="zh-CN"/>
        </w:rPr>
        <w:t xml:space="preserve"> </w:t>
      </w: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highlight w:val="none"/>
        </w:rPr>
        <w:t>则</w:t>
      </w:r>
    </w:p>
    <w:p w14:paraId="06AE0FA1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>第一条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 xml:space="preserve"> 为规范自治区政府补贴性职业技能培训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>（以下简称“补贴性培训”）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>，提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>高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>资金使用效益，依据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u w:val="none"/>
          <w:lang w:val="en-US" w:eastAsia="zh-CN"/>
        </w:rPr>
        <w:t>《关于开展大规模职业技能提升培训行动的指导意见》（国就劳发〔2025〕4号）、《关于进一步规范职业技能培训管理工作的通知》（人社部发〔2024〕5号）、《新疆维吾尔自治区就业补助资金管理办法》（新财社〔2026〕85号）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>等文件，结合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>工作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>实际，制定本办法。</w:t>
      </w:r>
    </w:p>
    <w:p w14:paraId="63ACEC44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default" w:ascii="黑体" w:hAnsi="黑体" w:eastAsia="黑体" w:cs="黑体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>第二条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 xml:space="preserve"> 本办法所称补贴性培训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>是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>指民办职业培训学校、技工院校、大中专院校、公共实训基地、高技能人才基地、技能大师工作室、合规企业培训中心等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>培训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>机构，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>按规定开展政府给予培训服务补贴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>的职业技能培训。</w:t>
      </w:r>
    </w:p>
    <w:p w14:paraId="127FE592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</w:rPr>
      </w:pPr>
      <w:r>
        <w:rPr>
          <w:rFonts w:hint="default" w:ascii="黑体" w:hAnsi="黑体" w:eastAsia="黑体" w:cs="黑体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>第三条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 xml:space="preserve"> 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>职业培训补贴一般包括培训补贴和评价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>补贴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>，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>资金来源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>包括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>就业补助资金、失业保险基金、职业技能提升行动专账资金、援疆资金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>以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>及人社、财政部门核定的其他资金。</w:t>
      </w:r>
    </w:p>
    <w:p w14:paraId="22D4B3B4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default" w:ascii="黑体" w:hAnsi="黑体" w:eastAsia="黑体" w:cs="黑体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>第</w:t>
      </w:r>
      <w:r>
        <w:rPr>
          <w:rFonts w:hint="eastAsia" w:ascii="黑体" w:hAnsi="黑体" w:eastAsia="黑体" w:cs="黑体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>四</w:t>
      </w:r>
      <w:r>
        <w:rPr>
          <w:rFonts w:hint="default" w:ascii="黑体" w:hAnsi="黑体" w:eastAsia="黑体" w:cs="黑体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>条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 xml:space="preserve"> 补贴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>性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>培训以产业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>发展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>、市场需求为导向，以提升劳动者技能、稳定就业为目标，打造 “产教评” 技能生态链，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>服务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>新疆技能出海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>，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>通过差异化补贴，激发劳动者参训、企业自主培育技能人才积极性。</w:t>
      </w:r>
    </w:p>
    <w:p w14:paraId="02697DD7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center"/>
        <w:textAlignment w:val="auto"/>
        <w:rPr>
          <w:rFonts w:hint="default" w:ascii="黑体" w:hAnsi="黑体" w:eastAsia="黑体" w:cs="黑体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</w:pPr>
    </w:p>
    <w:p w14:paraId="330146E8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center"/>
        <w:textAlignment w:val="auto"/>
        <w:rPr>
          <w:rFonts w:hint="default" w:ascii="黑体" w:hAnsi="黑体" w:eastAsia="黑体" w:cs="黑体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default" w:ascii="黑体" w:hAnsi="黑体" w:eastAsia="黑体" w:cs="黑体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>第二章 机构征集与管理</w:t>
      </w:r>
    </w:p>
    <w:p w14:paraId="7768B9BB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</w:rPr>
      </w:pPr>
      <w:r>
        <w:rPr>
          <w:rFonts w:hint="default" w:ascii="黑体" w:hAnsi="黑体" w:eastAsia="黑体" w:cs="黑体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>第</w:t>
      </w:r>
      <w:r>
        <w:rPr>
          <w:rFonts w:hint="eastAsia" w:ascii="黑体" w:hAnsi="黑体" w:eastAsia="黑体" w:cs="黑体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>五</w:t>
      </w:r>
      <w:r>
        <w:rPr>
          <w:rFonts w:hint="default" w:ascii="黑体" w:hAnsi="黑体" w:eastAsia="黑体" w:cs="黑体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>条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 xml:space="preserve"> 定点机构实行年度公开征集、动态管理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>，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>经评审公示后确定，公示结果报自治区人社厅备案并向社会公开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>，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>征集细则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>由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>各地人社部门制定。</w:t>
      </w:r>
    </w:p>
    <w:p w14:paraId="5CB71217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</w:rPr>
      </w:pPr>
      <w:r>
        <w:rPr>
          <w:rFonts w:hint="default" w:ascii="黑体" w:hAnsi="黑体" w:eastAsia="黑体" w:cs="黑体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>第</w:t>
      </w:r>
      <w:r>
        <w:rPr>
          <w:rFonts w:hint="eastAsia" w:ascii="黑体" w:hAnsi="黑体" w:eastAsia="黑体" w:cs="黑体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>六</w:t>
      </w:r>
      <w:r>
        <w:rPr>
          <w:rFonts w:hint="default" w:ascii="黑体" w:hAnsi="黑体" w:eastAsia="黑体" w:cs="黑体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>条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 xml:space="preserve"> 定点机构与人社部门签订培训承接协议，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>对培训全过程及真实性做出承诺并履行，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>人社部门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>可依据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>解约情形单方解除。支持产业链链主纳入定点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>机构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>目录，县域机构可联合链主共建实训点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>，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>跨地州联合办班经两地人社备案可纳入补贴范围。</w:t>
      </w:r>
    </w:p>
    <w:p w14:paraId="73D3228A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default" w:ascii="黑体" w:hAnsi="黑体" w:eastAsia="黑体" w:cs="黑体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>第</w:t>
      </w:r>
      <w:r>
        <w:rPr>
          <w:rFonts w:hint="eastAsia" w:ascii="黑体" w:hAnsi="黑体" w:eastAsia="黑体" w:cs="黑体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>七</w:t>
      </w:r>
      <w:r>
        <w:rPr>
          <w:rFonts w:hint="default" w:ascii="黑体" w:hAnsi="黑体" w:eastAsia="黑体" w:cs="黑体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>条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 xml:space="preserve"> 定点机构承担主体责任，严格按照备案教学计划、核定工种开展培训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>，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>培训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>后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>就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>近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>组织技能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>评价。应当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>开设铸牢中华民族共同体意识、安全生产、民族团结、禁毒普法等公共课程，公共课时计入理论学时。</w:t>
      </w:r>
    </w:p>
    <w:p w14:paraId="470BBAA6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>第八条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 xml:space="preserve"> 定点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>机构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>的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>师资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>、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>设备需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>与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>办学规模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>、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>培训工种匹配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>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统一使用国家职业培训包、正规出版教材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>，授课教师须具备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>相应的资格（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u w:val="none"/>
          <w:lang w:val="en-US" w:eastAsia="zh-CN"/>
        </w:rPr>
        <w:t>含职业资格、职业技能等级、专业技术职称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>）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>或拥有5年以上一线实操经验，可聘请行业工匠、企业技术骨干兼职。</w:t>
      </w:r>
    </w:p>
    <w:p w14:paraId="4116860A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 w:firstLine="640" w:firstLineChars="200"/>
        <w:jc w:val="both"/>
        <w:textAlignment w:val="auto"/>
        <w:rPr>
          <w:rFonts w:hint="default" w:ascii="黑体" w:hAnsi="黑体" w:eastAsia="黑体" w:cs="黑体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default" w:ascii="黑体" w:hAnsi="黑体" w:eastAsia="黑体" w:cs="黑体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>第</w:t>
      </w:r>
      <w:r>
        <w:rPr>
          <w:rFonts w:hint="eastAsia" w:ascii="黑体" w:hAnsi="黑体" w:eastAsia="黑体" w:cs="黑体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>九</w:t>
      </w:r>
      <w:r>
        <w:rPr>
          <w:rFonts w:hint="default" w:ascii="黑体" w:hAnsi="黑体" w:eastAsia="黑体" w:cs="黑体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>条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 xml:space="preserve"> 培训班次档案资料留存不少于5年，档案材料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>包括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>补贴参训花名册、教学计划、开班结业及补贴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>三项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>申报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>和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>审批材料、资金拨付凭证、考勤记录、培训视频影像等。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>定点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>机构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>要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>依托人脸识别、指纹打卡、远程视频监控实现培训全程可追溯。</w:t>
      </w:r>
    </w:p>
    <w:p w14:paraId="2FC2B9AF">
      <w:pPr>
        <w:jc w:val="both"/>
        <w:rPr>
          <w:rFonts w:hint="default"/>
          <w:color w:val="auto"/>
          <w:lang w:val="en-US" w:eastAsia="zh-CN"/>
        </w:rPr>
      </w:pPr>
    </w:p>
    <w:p w14:paraId="054972AA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center"/>
        <w:textAlignment w:val="auto"/>
        <w:rPr>
          <w:rFonts w:hint="default" w:ascii="黑体" w:hAnsi="黑体" w:eastAsia="黑体" w:cs="黑体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default" w:ascii="黑体" w:hAnsi="黑体" w:eastAsia="黑体" w:cs="黑体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>第三章 补贴对象、标准</w:t>
      </w:r>
      <w:r>
        <w:rPr>
          <w:rFonts w:hint="eastAsia" w:ascii="黑体" w:hAnsi="黑体" w:eastAsia="黑体" w:cs="黑体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>和</w:t>
      </w:r>
      <w:r>
        <w:rPr>
          <w:rFonts w:hint="default" w:ascii="黑体" w:hAnsi="黑体" w:eastAsia="黑体" w:cs="黑体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>管理</w:t>
      </w:r>
    </w:p>
    <w:p w14:paraId="586A9B1C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</w:rPr>
      </w:pPr>
      <w:r>
        <w:rPr>
          <w:rFonts w:hint="default" w:ascii="黑体" w:hAnsi="黑体" w:eastAsia="黑体" w:cs="黑体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>第十条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</w:rPr>
        <w:t xml:space="preserve"> 职业技能培训补贴</w:t>
      </w:r>
    </w:p>
    <w:p w14:paraId="26466386"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eastAsia" w:ascii="楷体_GB2312" w:hAnsi="楷体_GB2312" w:eastAsia="楷体_GB2312" w:cs="楷体_GB2312"/>
          <w:b w:val="0"/>
          <w:bCs w:val="0"/>
          <w:color w:val="auto"/>
          <w:sz w:val="32"/>
          <w:szCs w:val="32"/>
          <w:highlight w:val="none"/>
        </w:rPr>
      </w:pPr>
      <w:r>
        <w:rPr>
          <w:rFonts w:hint="eastAsia" w:ascii="楷体_GB2312" w:hAnsi="楷体_GB2312" w:eastAsia="楷体_GB2312" w:cs="楷体_GB2312"/>
          <w:b w:val="0"/>
          <w:bCs w:val="0"/>
          <w:color w:val="auto"/>
          <w:sz w:val="32"/>
          <w:szCs w:val="32"/>
          <w:highlight w:val="none"/>
        </w:rPr>
        <w:t>（一）就业技能培训</w:t>
      </w:r>
    </w:p>
    <w:p w14:paraId="6E7FA647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>补贴对象：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u w:val="none"/>
          <w:lang w:val="en-US" w:eastAsia="zh-CN"/>
        </w:rPr>
        <w:t>毕业年度（毕业当年1月1日至12月31日）高校毕业生（含技工院校高级工班、预备技师班、技师班和特殊教育院校职业教育类毕业生）、城乡未继续升学的应届初高中毕业生（含中职和技工院校中级工班毕业生）、农村转移就业劳动者、城镇登记失业人员、就业困难人员等（以下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u w:val="none"/>
          <w:lang w:val="en-US" w:eastAsia="zh-CN"/>
        </w:rPr>
        <w:t>统称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u w:val="none"/>
          <w:lang w:val="en-US" w:eastAsia="zh-CN"/>
        </w:rPr>
        <w:t>五类人员）。</w:t>
      </w:r>
    </w:p>
    <w:p w14:paraId="28C6A0B8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>申领条件：参训取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>得相应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>证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>书（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>职业资格、技能等级、专项能力或培训合格证书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>，下同）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>。</w:t>
      </w:r>
    </w:p>
    <w:p w14:paraId="10DC0E03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yellow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>补贴标准：初级工最高1800元/人次，中级工最高2000元/人次，高级工最高2500元/人次，技师最高3000元/人次，高级技师最高3500元/人次；专项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>职业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>能力400元/人，基本劳动素质500元/人。微技能培训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>参照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>基本劳动素质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>课程，按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>每学时15元/人结算，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>最高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>500元/人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>标准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>执行。</w:t>
      </w:r>
    </w:p>
    <w:p w14:paraId="291C64DB"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default" w:ascii="楷体_GB2312" w:hAnsi="楷体_GB2312" w:eastAsia="楷体_GB2312" w:cs="楷体_GB2312"/>
          <w:b w:val="0"/>
          <w:bCs w:val="0"/>
          <w:color w:val="auto"/>
          <w:sz w:val="32"/>
          <w:szCs w:val="32"/>
          <w:highlight w:val="none"/>
        </w:rPr>
      </w:pPr>
      <w:r>
        <w:rPr>
          <w:rFonts w:hint="default" w:ascii="楷体_GB2312" w:hAnsi="楷体_GB2312" w:eastAsia="楷体_GB2312" w:cs="楷体_GB2312"/>
          <w:b w:val="0"/>
          <w:bCs w:val="0"/>
          <w:color w:val="auto"/>
          <w:sz w:val="32"/>
          <w:szCs w:val="32"/>
          <w:highlight w:val="none"/>
        </w:rPr>
        <w:t>（二）“技能照亮前程”项目制培训</w:t>
      </w:r>
    </w:p>
    <w:p w14:paraId="6E260C4D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>补贴对象：五类人员、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>产教评技能生态链内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>企业职工、企业转岗职工。</w:t>
      </w:r>
    </w:p>
    <w:p w14:paraId="4707407E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>申领条件：通过政府购买服务、项目委托、揭榜挂帅选定机构，采用“岗位需求+技能培训+技能评价+就业服务”一体化模式，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>参训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>取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>得相应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>证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>书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>后结合就业情况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>给予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>奖补。</w:t>
      </w:r>
    </w:p>
    <w:p w14:paraId="16BCD8C5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>补贴标准：参照就业技能培训标准差异化上浮。初、中级培训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>后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>实现就业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>最高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>上浮20%，稳定就业3个月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>以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>上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>最高上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>浮30%；高级工及以上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>培训后实现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>就业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>最高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>上浮30%，稳定就业3个月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>以上最高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>上浮50%。</w:t>
      </w:r>
    </w:p>
    <w:p w14:paraId="1C0750BF"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default" w:ascii="楷体_GB2312" w:hAnsi="楷体_GB2312" w:eastAsia="楷体_GB2312" w:cs="楷体_GB2312"/>
          <w:b w:val="0"/>
          <w:bCs w:val="0"/>
          <w:color w:val="auto"/>
          <w:sz w:val="32"/>
          <w:szCs w:val="32"/>
          <w:highlight w:val="none"/>
        </w:rPr>
      </w:pPr>
      <w:r>
        <w:rPr>
          <w:rFonts w:hint="default" w:ascii="楷体_GB2312" w:hAnsi="楷体_GB2312" w:eastAsia="楷体_GB2312" w:cs="楷体_GB2312"/>
          <w:b w:val="0"/>
          <w:bCs w:val="0"/>
          <w:color w:val="auto"/>
          <w:sz w:val="32"/>
          <w:szCs w:val="32"/>
          <w:highlight w:val="none"/>
        </w:rPr>
        <w:t>（三）岗位技能培训</w:t>
      </w:r>
    </w:p>
    <w:p w14:paraId="2D16CAFE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>补贴对象：企业新招录五类人员、企业在岗职工。</w:t>
      </w:r>
    </w:p>
    <w:p w14:paraId="5E4F2B37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>申领条件：新招录五类人员签订1年以上劳动合同，入职1年内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>参训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>取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>得相应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>证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>书。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>企业职工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>参训取得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>技师、高级技师证书。</w:t>
      </w:r>
    </w:p>
    <w:p w14:paraId="4E6FFAFA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yellow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>补贴标准：同就业技能培训标准。</w:t>
      </w:r>
    </w:p>
    <w:p w14:paraId="52E25D77"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default" w:ascii="楷体_GB2312" w:hAnsi="楷体_GB2312" w:eastAsia="楷体_GB2312" w:cs="楷体_GB2312"/>
          <w:b w:val="0"/>
          <w:bCs w:val="0"/>
          <w:color w:val="auto"/>
          <w:sz w:val="32"/>
          <w:szCs w:val="32"/>
          <w:highlight w:val="none"/>
        </w:rPr>
      </w:pPr>
      <w:r>
        <w:rPr>
          <w:rFonts w:hint="default" w:ascii="楷体_GB2312" w:hAnsi="楷体_GB2312" w:eastAsia="楷体_GB2312" w:cs="楷体_GB2312"/>
          <w:b w:val="0"/>
          <w:bCs w:val="0"/>
          <w:color w:val="auto"/>
          <w:sz w:val="32"/>
          <w:szCs w:val="32"/>
          <w:highlight w:val="none"/>
        </w:rPr>
        <w:t>（四）中国特色企业新型学徒制培训</w:t>
      </w:r>
    </w:p>
    <w:p w14:paraId="1459C526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>补贴对象：企业在岗职工、毕业年度企业实习学生。</w:t>
      </w:r>
    </w:p>
    <w:p w14:paraId="3B3986F5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>申领条件：企业职工签订1年以上劳动合同且合同期限长于培养周期；实习学生签订实习协议及1年以上就业协议，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>参训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>取得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>相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>应证书。</w:t>
      </w:r>
    </w:p>
    <w:p w14:paraId="61079D6D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yellow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>补贴标准：中级工5000元/人/年，高级工及以上6000元/人/年；战略新兴、急需紧缺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>职业（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>工种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>）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>最高8000元/人/年。</w:t>
      </w:r>
    </w:p>
    <w:p w14:paraId="03070D2A"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default" w:ascii="楷体_GB2312" w:hAnsi="楷体_GB2312" w:eastAsia="楷体_GB2312" w:cs="楷体_GB2312"/>
          <w:b w:val="0"/>
          <w:bCs w:val="0"/>
          <w:color w:val="auto"/>
          <w:sz w:val="32"/>
          <w:szCs w:val="32"/>
          <w:highlight w:val="none"/>
        </w:rPr>
      </w:pPr>
      <w:r>
        <w:rPr>
          <w:rFonts w:hint="default" w:ascii="楷体_GB2312" w:hAnsi="楷体_GB2312" w:eastAsia="楷体_GB2312" w:cs="楷体_GB2312"/>
          <w:b w:val="0"/>
          <w:bCs w:val="0"/>
          <w:color w:val="auto"/>
          <w:sz w:val="32"/>
          <w:szCs w:val="32"/>
          <w:highlight w:val="none"/>
        </w:rPr>
        <w:t>（五）创业培训</w:t>
      </w:r>
    </w:p>
    <w:p w14:paraId="48E8B274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>补贴对象：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  <w:t>小微企业主、个体工商户、乡村创业致富带头人、返乡入乡创业人员、高校毕业生、城乡未继续升学初高中毕业生、农村转移就业劳动者、城镇登记失业人员、就业困难人员（含残疾人）、退役军人、刑满释放人员及各类高校、职业院校（含技工院校）在校学生。</w:t>
      </w:r>
    </w:p>
    <w:p w14:paraId="0AAE1143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 xml:space="preserve">申领条件：参训取得创业培训合格证书。 </w:t>
      </w:r>
    </w:p>
    <w:p w14:paraId="1F6E716F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>补贴标准：GYB创业意识培训最高600元/人次；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u w:val="none"/>
          <w:shd w:val="clear" w:color="auto" w:fill="FFFFFF"/>
        </w:rPr>
        <w:t>SYB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u w:val="none"/>
          <w:shd w:val="clear" w:color="auto" w:fill="FFFFFF"/>
          <w:lang w:eastAsia="zh-CN"/>
        </w:rPr>
        <w:t>创办企业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u w:val="none"/>
          <w:shd w:val="clear" w:color="auto" w:fill="FFFFFF"/>
        </w:rPr>
        <w:t>培训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u w:val="none"/>
          <w:shd w:val="clear" w:color="auto" w:fill="FFFFFF"/>
          <w:lang w:val="en-US" w:eastAsia="zh-CN"/>
        </w:rPr>
        <w:t>、IYB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u w:val="none"/>
          <w:shd w:val="clear" w:color="auto" w:fill="FFFFFF"/>
          <w:lang w:eastAsia="zh-CN"/>
        </w:rPr>
        <w:t>改善企业培训、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u w:val="none"/>
          <w:shd w:val="clear" w:color="auto" w:fill="FFFFFF"/>
          <w:lang w:val="en-US" w:eastAsia="zh-CN"/>
        </w:rPr>
        <w:t>EYB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u w:val="none"/>
          <w:shd w:val="clear" w:color="auto" w:fill="FFFFFF"/>
          <w:lang w:eastAsia="zh-CN"/>
        </w:rPr>
        <w:t>扩大企业培训、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u w:val="none"/>
          <w:shd w:val="clear" w:color="auto" w:fill="FFFFFF"/>
          <w:lang w:val="en-US" w:eastAsia="zh-CN"/>
        </w:rPr>
        <w:t>WLC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u w:val="none"/>
          <w:shd w:val="clear" w:color="auto" w:fill="FFFFFF"/>
          <w:lang w:eastAsia="zh-CN"/>
        </w:rPr>
        <w:t>网络创业培训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>最高1250元/人次；在校学生创业培训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>最高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>600元/人次。</w:t>
      </w:r>
    </w:p>
    <w:p w14:paraId="525A5A67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default" w:ascii="黑体" w:hAnsi="黑体" w:eastAsia="黑体" w:cs="黑体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>第十</w:t>
      </w:r>
      <w:r>
        <w:rPr>
          <w:rFonts w:hint="eastAsia" w:ascii="黑体" w:hAnsi="黑体" w:eastAsia="黑体" w:cs="黑体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>一</w:t>
      </w:r>
      <w:r>
        <w:rPr>
          <w:rFonts w:hint="default" w:ascii="黑体" w:hAnsi="黑体" w:eastAsia="黑体" w:cs="黑体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>条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 xml:space="preserve"> 职业技能评价补贴</w:t>
      </w:r>
    </w:p>
    <w:p w14:paraId="4105FED3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>补贴对象：五类人员。</w:t>
      </w:r>
    </w:p>
    <w:p w14:paraId="2AB21E69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>申领条件：同一工种初次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>参加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>技能评价并取得职业资格/技能等级/专项能力证书（不含培训合格证）。</w:t>
      </w:r>
    </w:p>
    <w:p w14:paraId="67B6598F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highlight w:val="yellow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>补贴标准：初、中级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>最高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>280元/人次，高级工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>最高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>350元/人次，技师、高级技师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>最高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>400元/人次；专项能力考核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>最高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>100元/人次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>。</w:t>
      </w:r>
    </w:p>
    <w:p w14:paraId="0D7D22AD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default" w:ascii="黑体" w:hAnsi="黑体" w:eastAsia="黑体" w:cs="黑体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>第十</w:t>
      </w:r>
      <w:r>
        <w:rPr>
          <w:rFonts w:hint="eastAsia" w:ascii="黑体" w:hAnsi="黑体" w:eastAsia="黑体" w:cs="黑体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>二</w:t>
      </w:r>
      <w:r>
        <w:rPr>
          <w:rFonts w:hint="default" w:ascii="黑体" w:hAnsi="黑体" w:eastAsia="黑体" w:cs="黑体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>条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 xml:space="preserve"> 各地（州、市）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>应当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lang w:val="en-US" w:eastAsia="zh-CN"/>
        </w:rPr>
        <w:t>聚焦产业发展和用工需求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lang w:val="en-US" w:eastAsia="zh-CN"/>
        </w:rPr>
        <w:t>，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>每年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lang w:val="en-US" w:eastAsia="zh-CN"/>
        </w:rPr>
        <w:t>公开发布补贴性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lang w:val="en-US" w:eastAsia="zh-CN"/>
        </w:rPr>
        <w:t>职业技能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lang w:val="en-US" w:eastAsia="zh-CN"/>
        </w:rPr>
        <w:t>培训项目目录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>。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lang w:val="en-US" w:eastAsia="zh-CN"/>
        </w:rPr>
        <w:t>紧密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lang w:val="en-US" w:eastAsia="zh-CN"/>
        </w:rPr>
        <w:t>结合产业发展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lang w:val="en-US" w:eastAsia="zh-CN"/>
        </w:rPr>
        <w:t>、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lang w:val="en-US" w:eastAsia="zh-CN"/>
        </w:rPr>
        <w:t>物价指数等因素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lang w:val="en-US" w:eastAsia="zh-CN"/>
        </w:rPr>
        <w:t>制定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lang w:val="en-US" w:eastAsia="zh-CN"/>
        </w:rPr>
        <w:t>培训补贴标准，分为A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lang w:val="en-US" w:eastAsia="zh-CN"/>
        </w:rPr>
        <w:t>类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highlight w:val="none"/>
        </w:rPr>
        <w:t>急需紧缺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lang w:val="en-US" w:eastAsia="zh-CN"/>
        </w:rPr>
        <w:t>、B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highlight w:val="none"/>
        </w:rPr>
        <w:t>类供需平衡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lang w:val="en-US" w:eastAsia="zh-CN"/>
        </w:rPr>
        <w:t>、C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highlight w:val="none"/>
        </w:rPr>
        <w:t>类饱和富余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lang w:val="en-US" w:eastAsia="zh-CN"/>
        </w:rPr>
        <w:t>三档差异化补贴。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>取得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>本地急需紧缺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>职业（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>工种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>）的，培训和评价补贴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>最高上浮20%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>，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>项目制上浮与急需紧缺上浮政策不可叠加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>，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>学徒制培训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>开班审核后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>可预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>拨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>50%补贴，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>具体执行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>标准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>由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>各地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>制定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>。</w:t>
      </w:r>
    </w:p>
    <w:p w14:paraId="28B14FA0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</w:rPr>
      </w:pPr>
      <w:r>
        <w:rPr>
          <w:rFonts w:hint="default" w:ascii="黑体" w:hAnsi="黑体" w:eastAsia="黑体" w:cs="黑体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>第十</w:t>
      </w:r>
      <w:r>
        <w:rPr>
          <w:rFonts w:hint="eastAsia" w:ascii="黑体" w:hAnsi="黑体" w:eastAsia="黑体" w:cs="黑体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>三</w:t>
      </w:r>
      <w:r>
        <w:rPr>
          <w:rFonts w:hint="default" w:ascii="黑体" w:hAnsi="黑体" w:eastAsia="黑体" w:cs="黑体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>条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 xml:space="preserve"> 证书核发后6个月内完成补贴申报，逾期视为自动放弃。评价补贴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>与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>培训补贴一并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>申请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>发放。单次培训原则使用一类资金，资金不足可多渠道合规补足。培训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>（不含劳动素质）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>、评价补贴每人最多各享受3次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>。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>同工种同等级不得重复申领，取得高等级证书后不再申领本工种低等级补贴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>。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>同一时段仅可参加1个补贴班次。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>职业培训补贴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>与失业保险技能提升补贴不可重复享受。</w:t>
      </w:r>
    </w:p>
    <w:p w14:paraId="6D315DBD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both"/>
        <w:textAlignment w:val="auto"/>
        <w:rPr>
          <w:rFonts w:hint="default" w:ascii="黑体" w:hAnsi="黑体" w:eastAsia="黑体" w:cs="黑体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</w:pPr>
    </w:p>
    <w:p w14:paraId="24389FE5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center"/>
        <w:textAlignment w:val="auto"/>
        <w:rPr>
          <w:rFonts w:hint="default" w:ascii="黑体" w:hAnsi="黑体" w:eastAsia="黑体" w:cs="黑体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default" w:ascii="黑体" w:hAnsi="黑体" w:eastAsia="黑体" w:cs="黑体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>第四章 培训条件与要求</w:t>
      </w:r>
    </w:p>
    <w:p w14:paraId="693D03F3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u w:val="none"/>
          <w:shd w:val="clear" w:color="auto" w:fill="FFFFFF"/>
          <w:lang w:val="en-US" w:eastAsia="zh-CN"/>
        </w:rPr>
      </w:pPr>
      <w:r>
        <w:rPr>
          <w:rFonts w:hint="default" w:ascii="黑体" w:hAnsi="黑体" w:eastAsia="黑体" w:cs="黑体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>第十</w:t>
      </w:r>
      <w:r>
        <w:rPr>
          <w:rFonts w:hint="eastAsia" w:ascii="黑体" w:hAnsi="黑体" w:eastAsia="黑体" w:cs="黑体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>四</w:t>
      </w:r>
      <w:r>
        <w:rPr>
          <w:rFonts w:hint="default" w:ascii="黑体" w:hAnsi="黑体" w:eastAsia="黑体" w:cs="黑体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>条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 xml:space="preserve"> 参训人员年龄区间16—60周岁，女职工上限55周岁；达到退休年龄未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>逐月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>领取养老金、确有培训需求者可放宽至65周岁。享受补贴需满足疆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>内的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>户籍、参保、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>就业、就学或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>登记失业任一条件。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>财政供养、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>领取养老金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>、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>失信被执行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>、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>完全丧失劳动能力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>、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>初高中在校生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>、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>考勤不足80%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>、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>考核不合格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>、培训中死亡等人员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>不得申领培训补贴。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u w:val="none"/>
          <w:shd w:val="clear" w:color="auto" w:fill="FFFFFF"/>
          <w:lang w:val="en-US" w:eastAsia="zh-CN"/>
        </w:rPr>
        <w:t>财政供养人员包括在编在岗的国家公务人员、全额事业单位人员、部分差额事业单位人员；不包括村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u w:val="none"/>
          <w:shd w:val="clear" w:color="auto" w:fill="FFFFFF"/>
          <w:lang w:val="en-US" w:eastAsia="zh-CN"/>
        </w:rPr>
        <w:t>（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u w:val="none"/>
          <w:shd w:val="clear" w:color="auto" w:fill="FFFFFF"/>
          <w:lang w:val="en-US" w:eastAsia="zh-CN"/>
        </w:rPr>
        <w:t>社区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u w:val="none"/>
          <w:shd w:val="clear" w:color="auto" w:fill="FFFFFF"/>
          <w:lang w:val="en-US" w:eastAsia="zh-CN"/>
        </w:rPr>
        <w:t>）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u w:val="none"/>
          <w:shd w:val="clear" w:color="auto" w:fill="FFFFFF"/>
          <w:lang w:val="en-US" w:eastAsia="zh-CN"/>
        </w:rPr>
        <w:t>服务人员、护林员、护边员等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u w:val="none"/>
          <w:shd w:val="clear" w:color="auto" w:fill="FFFFFF"/>
          <w:lang w:val="en-US" w:eastAsia="zh-CN"/>
        </w:rPr>
        <w:t>。</w:t>
      </w:r>
    </w:p>
    <w:p w14:paraId="7AE3AAB7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default" w:ascii="黑体" w:hAnsi="黑体" w:eastAsia="黑体" w:cs="黑体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>第</w:t>
      </w:r>
      <w:r>
        <w:rPr>
          <w:rFonts w:hint="eastAsia" w:ascii="黑体" w:hAnsi="黑体" w:eastAsia="黑体" w:cs="黑体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>十五</w:t>
      </w:r>
      <w:r>
        <w:rPr>
          <w:rFonts w:hint="default" w:ascii="黑体" w:hAnsi="黑体" w:eastAsia="黑体" w:cs="黑体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>条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 xml:space="preserve"> 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>补贴性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>培训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>项目覆盖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highlight w:val="none"/>
        </w:rPr>
        <w:t>《中华人民共和国职业分类大典》在册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highlight w:val="none"/>
          <w:lang w:eastAsia="zh-CN"/>
        </w:rPr>
        <w:t>及人力资源社会保障部新发布的职业</w:t>
      </w:r>
      <w:r>
        <w:rPr>
          <w:rFonts w:hint="eastAsia" w:ascii="Times New Roman" w:hAnsi="Times New Roman" w:eastAsia="仿宋_GB2312" w:cs="Times New Roman"/>
          <w:b w:val="0"/>
          <w:bCs/>
          <w:color w:val="auto"/>
          <w:sz w:val="32"/>
          <w:szCs w:val="32"/>
          <w:highlight w:val="none"/>
          <w:lang w:eastAsia="zh-CN"/>
        </w:rPr>
        <w:t>（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highlight w:val="none"/>
          <w:lang w:eastAsia="zh-CN"/>
        </w:rPr>
        <w:t>工种</w:t>
      </w:r>
      <w:r>
        <w:rPr>
          <w:rFonts w:hint="eastAsia" w:ascii="Times New Roman" w:hAnsi="Times New Roman" w:eastAsia="仿宋_GB2312" w:cs="Times New Roman"/>
          <w:b w:val="0"/>
          <w:bCs/>
          <w:color w:val="auto"/>
          <w:sz w:val="32"/>
          <w:szCs w:val="32"/>
          <w:highlight w:val="none"/>
          <w:lang w:eastAsia="zh-CN"/>
        </w:rPr>
        <w:t>），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highlight w:val="none"/>
          <w:lang w:eastAsia="zh-CN"/>
        </w:rPr>
        <w:t>专项职业能力</w:t>
      </w:r>
      <w:r>
        <w:rPr>
          <w:rFonts w:hint="eastAsia" w:ascii="Times New Roman" w:hAnsi="Times New Roman" w:eastAsia="仿宋_GB2312" w:cs="Times New Roman"/>
          <w:b w:val="0"/>
          <w:bCs/>
          <w:color w:val="auto"/>
          <w:sz w:val="32"/>
          <w:szCs w:val="32"/>
          <w:highlight w:val="none"/>
          <w:lang w:eastAsia="zh-CN"/>
        </w:rPr>
        <w:t>培训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highlight w:val="none"/>
          <w:lang w:eastAsia="zh-CN"/>
        </w:rPr>
        <w:t>、基本劳动素质</w:t>
      </w:r>
      <w:r>
        <w:rPr>
          <w:rFonts w:hint="eastAsia" w:ascii="Times New Roman" w:hAnsi="Times New Roman" w:eastAsia="仿宋_GB2312" w:cs="Times New Roman"/>
          <w:b w:val="0"/>
          <w:bCs/>
          <w:color w:val="auto"/>
          <w:sz w:val="32"/>
          <w:szCs w:val="32"/>
          <w:highlight w:val="none"/>
          <w:lang w:eastAsia="zh-CN"/>
        </w:rPr>
        <w:t>培训、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highlight w:val="none"/>
          <w:lang w:eastAsia="zh-CN"/>
        </w:rPr>
        <w:t>创业</w:t>
      </w:r>
      <w:r>
        <w:rPr>
          <w:rFonts w:hint="eastAsia" w:ascii="Times New Roman" w:hAnsi="Times New Roman" w:eastAsia="仿宋_GB2312" w:cs="Times New Roman"/>
          <w:b w:val="0"/>
          <w:bCs/>
          <w:color w:val="auto"/>
          <w:sz w:val="32"/>
          <w:szCs w:val="32"/>
          <w:highlight w:val="none"/>
          <w:lang w:eastAsia="zh-CN"/>
        </w:rPr>
        <w:t>培训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highlight w:val="none"/>
        </w:rPr>
        <w:t>单独列项管理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highlight w:val="none"/>
          <w:lang w:eastAsia="zh-CN"/>
        </w:rPr>
        <w:t>。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>重点产业、重大项目、劳务品牌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>及急需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>用工，可参照行业标准自主设置培训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>名称和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>内容。</w:t>
      </w:r>
    </w:p>
    <w:p w14:paraId="50E47B1F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default" w:ascii="黑体" w:hAnsi="黑体" w:eastAsia="黑体" w:cs="黑体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>第十</w:t>
      </w:r>
      <w:r>
        <w:rPr>
          <w:rFonts w:hint="eastAsia" w:ascii="黑体" w:hAnsi="黑体" w:eastAsia="黑体" w:cs="黑体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>六</w:t>
      </w:r>
      <w:r>
        <w:rPr>
          <w:rFonts w:hint="default" w:ascii="黑体" w:hAnsi="黑体" w:eastAsia="黑体" w:cs="黑体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>条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 xml:space="preserve"> 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>培训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>班次人数设限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>，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>技能培训≤60人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>，创业培训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>GYB≤40人，SYB/IYB/WLC≤30人，EYB≤25人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>，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>企业新型学徒人员离职可补招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>或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>合班教学。</w:t>
      </w:r>
    </w:p>
    <w:p w14:paraId="6B5BFBF1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default" w:ascii="Times New Roman" w:hAnsi="Times New Roman" w:eastAsia="黑体" w:cs="Times New Roman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>第十七条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 xml:space="preserve"> 实操课时占总课时比例≥60%（无实操除外），单课时45分钟，单日培训≤8课时。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u w:val="none"/>
          <w:lang w:val="en-US" w:eastAsia="zh-CN"/>
        </w:rPr>
        <w:t>技能培训课时可参考国家标准、行业企业规范、培训计划等，结合区域发展、岗位需求及人口素质等情况确定。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>专项职业能力≥24课时，基本劳动素质≥40课时，企业新型学徒制每年≥400课时，GYB≥24课时，EYB≥48课时，SYB/WLC≥56课时，IYB≥64课时。</w:t>
      </w:r>
    </w:p>
    <w:p w14:paraId="3D6CC021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</w:rPr>
      </w:pPr>
      <w:r>
        <w:rPr>
          <w:rFonts w:hint="default" w:ascii="黑体" w:hAnsi="黑体" w:eastAsia="黑体" w:cs="黑体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>第十</w:t>
      </w:r>
      <w:r>
        <w:rPr>
          <w:rFonts w:hint="eastAsia" w:ascii="黑体" w:hAnsi="黑体" w:eastAsia="黑体" w:cs="黑体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>八</w:t>
      </w:r>
      <w:r>
        <w:rPr>
          <w:rFonts w:hint="default" w:ascii="黑体" w:hAnsi="黑体" w:eastAsia="黑体" w:cs="黑体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>条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 xml:space="preserve"> 线上培训平台须具备实名核验、人脸识别、实时管控功能，严禁刷课、代学代考、多账号登录。违规机构、平台立即停止培训，追回补贴、移出定点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>机构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>目录，依法给予行政处罚，涉嫌犯罪移送司法机关。</w:t>
      </w:r>
    </w:p>
    <w:p w14:paraId="4BF1A5F7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both"/>
        <w:textAlignment w:val="auto"/>
        <w:rPr>
          <w:rFonts w:hint="default" w:ascii="黑体" w:hAnsi="黑体" w:eastAsia="黑体" w:cs="黑体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</w:pPr>
    </w:p>
    <w:p w14:paraId="718CC58E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center"/>
        <w:textAlignment w:val="auto"/>
        <w:rPr>
          <w:rFonts w:hint="default" w:ascii="黑体" w:hAnsi="黑体" w:eastAsia="黑体" w:cs="黑体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default" w:ascii="黑体" w:hAnsi="黑体" w:eastAsia="黑体" w:cs="黑体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>第五章 组织实施与补贴流程</w:t>
      </w:r>
    </w:p>
    <w:p w14:paraId="373D3767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</w:rPr>
      </w:pPr>
      <w:r>
        <w:rPr>
          <w:rFonts w:hint="default" w:ascii="黑体" w:hAnsi="黑体" w:eastAsia="黑体" w:cs="黑体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>第十</w:t>
      </w:r>
      <w:r>
        <w:rPr>
          <w:rFonts w:hint="eastAsia" w:ascii="黑体" w:hAnsi="黑体" w:eastAsia="黑体" w:cs="黑体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>九</w:t>
      </w:r>
      <w:r>
        <w:rPr>
          <w:rFonts w:hint="default" w:ascii="黑体" w:hAnsi="黑体" w:eastAsia="黑体" w:cs="黑体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>条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 xml:space="preserve"> 补贴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>性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>培训实行管办分离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>，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>统一使用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>新疆职业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>培训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>信息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>系统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>（以下统称系统）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>，落实开班申报、过程监管、结业考核全流程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>系统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>办理。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>各地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>人社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>部门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>职业能力建设科室负责政策制定、资金分配、机构管理、补贴审批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>等工作，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>公共就业服务中心负责用工摸排、开班组织、过程监管、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>补贴受理、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>就业跟踪、绩效评估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>等工作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>。</w:t>
      </w:r>
    </w:p>
    <w:p w14:paraId="42D0900D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黑体" w:hAnsi="黑体" w:eastAsia="黑体" w:cs="黑体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>第二十条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 xml:space="preserve"> 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>实名制信息化管理遵循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 xml:space="preserve"> “凡补必进、不进不补”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>原则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>，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>补贴性培训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>全流程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>系统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>办理，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>包括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</w:rPr>
        <w:t>开班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lang w:eastAsia="zh-CN"/>
        </w:rPr>
        <w:t>筹备（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</w:rPr>
        <w:t>机构提前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  <w:t>7日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</w:rPr>
        <w:t>发布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lang w:eastAsia="zh-CN"/>
        </w:rPr>
        <w:t>招生计划）、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</w:rPr>
        <w:t>培训报名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  <w:t>（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</w:rPr>
        <w:t>劳动者通过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lang w:eastAsia="zh-CN"/>
        </w:rPr>
        <w:t>小程序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</w:rPr>
        <w:t>或线下报名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  <w:t>）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lang w:eastAsia="zh-CN"/>
        </w:rPr>
        <w:t>、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</w:rPr>
        <w:t>开班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lang w:eastAsia="zh-CN"/>
        </w:rPr>
        <w:t>申请（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</w:rPr>
        <w:t>开班前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  <w:t>5日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</w:rPr>
        <w:t>提交参训名册、教学计划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lang w:eastAsia="zh-CN"/>
        </w:rPr>
        <w:t>等材料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</w:rPr>
        <w:t>，人社部门5日内完成审核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lang w:eastAsia="zh-CN"/>
        </w:rPr>
        <w:t>）、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</w:rPr>
        <w:t>过程监管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lang w:eastAsia="zh-CN"/>
        </w:rPr>
        <w:t>（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</w:rPr>
        <w:t>系统预警异常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lang w:eastAsia="zh-CN"/>
        </w:rPr>
        <w:t>情况；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</w:rPr>
        <w:t>每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lang w:eastAsia="zh-CN"/>
        </w:rPr>
        <w:t>课时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</w:rPr>
        <w:t>留存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lang w:eastAsia="zh-CN"/>
        </w:rPr>
        <w:t>不少于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</w:rPr>
        <w:t>10分钟视频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lang w:eastAsia="zh-CN"/>
        </w:rPr>
        <w:t>，视频内容包含培训关键要素；具备人脸识别并留存完整考勤记录的，可以不再提供视频印证资料）、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</w:rPr>
        <w:t>满意度评价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lang w:eastAsia="zh-CN"/>
        </w:rPr>
        <w:t>（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</w:rPr>
        <w:t>参训全员线上评价，有效投诉未办结暂停结算，违规班次不予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lang w:eastAsia="zh-CN"/>
        </w:rPr>
        <w:t>补贴）、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</w:rPr>
        <w:t>补贴结算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lang w:eastAsia="zh-CN"/>
        </w:rPr>
        <w:t>（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</w:rPr>
        <w:t>机构线上提交申报材料，人社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lang w:eastAsia="zh-CN"/>
        </w:rPr>
        <w:t>部门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</w:rPr>
        <w:t>15日内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lang w:eastAsia="zh-CN"/>
        </w:rPr>
        <w:t>完成审核）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</w:rPr>
        <w:t>。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  <w:t xml:space="preserve"> </w:t>
      </w:r>
    </w:p>
    <w:p w14:paraId="268FA128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</w:rPr>
      </w:pPr>
      <w:r>
        <w:rPr>
          <w:rFonts w:hint="default" w:ascii="黑体" w:hAnsi="黑体" w:eastAsia="黑体" w:cs="黑体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>第二十</w:t>
      </w:r>
      <w:r>
        <w:rPr>
          <w:rFonts w:hint="eastAsia" w:ascii="黑体" w:hAnsi="黑体" w:eastAsia="黑体" w:cs="黑体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>一</w:t>
      </w:r>
      <w:r>
        <w:rPr>
          <w:rFonts w:hint="default" w:ascii="黑体" w:hAnsi="黑体" w:eastAsia="黑体" w:cs="黑体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>条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 xml:space="preserve"> 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>按照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>参训自愿自主原则，可采用先缴后补、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>先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>垫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>后补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>、信用支付等方式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>报名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>缴费；机构可统一代办申领补贴，资金直接拨付至个人社保卡金融账户或企业对公账户。</w:t>
      </w:r>
    </w:p>
    <w:p w14:paraId="2845EE18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</w:rPr>
      </w:pPr>
      <w:r>
        <w:rPr>
          <w:rFonts w:hint="default" w:ascii="黑体" w:hAnsi="黑体" w:eastAsia="黑体" w:cs="黑体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>第二十</w:t>
      </w:r>
      <w:r>
        <w:rPr>
          <w:rFonts w:hint="eastAsia" w:ascii="黑体" w:hAnsi="黑体" w:eastAsia="黑体" w:cs="黑体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>二</w:t>
      </w:r>
      <w:r>
        <w:rPr>
          <w:rFonts w:hint="default" w:ascii="黑体" w:hAnsi="黑体" w:eastAsia="黑体" w:cs="黑体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>条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 xml:space="preserve"> 补贴申报材料含系统水印花名册、收费票据、培训协议、劳动合同、工资流水、技能证书等，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>各地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>依托跨部门数据比对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>可进一步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>精简纸质材料。</w:t>
      </w:r>
    </w:p>
    <w:p w14:paraId="5A74BC60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both"/>
        <w:textAlignment w:val="auto"/>
        <w:rPr>
          <w:rFonts w:hint="default" w:ascii="黑体" w:hAnsi="黑体" w:eastAsia="黑体" w:cs="黑体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</w:pPr>
    </w:p>
    <w:p w14:paraId="1415331E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center"/>
        <w:textAlignment w:val="auto"/>
        <w:rPr>
          <w:rFonts w:hint="default" w:ascii="黑体" w:hAnsi="黑体" w:eastAsia="黑体" w:cs="黑体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default" w:ascii="黑体" w:hAnsi="黑体" w:eastAsia="黑体" w:cs="黑体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>第六章 培训监管与绩效评估</w:t>
      </w:r>
    </w:p>
    <w:p w14:paraId="7B3E48B3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default" w:ascii="黑体" w:hAnsi="黑体" w:eastAsia="黑体" w:cs="黑体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>第二十</w:t>
      </w:r>
      <w:r>
        <w:rPr>
          <w:rFonts w:hint="eastAsia" w:ascii="黑体" w:hAnsi="黑体" w:eastAsia="黑体" w:cs="黑体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>三</w:t>
      </w:r>
      <w:r>
        <w:rPr>
          <w:rFonts w:hint="default" w:ascii="黑体" w:hAnsi="黑体" w:eastAsia="黑体" w:cs="黑体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>条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 xml:space="preserve"> 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>全区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>建立自治区、地州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>市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>、县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>市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>区三级分层监管体系。自治区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>负责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>统筹制度建设、系统运维、跨区域核查、重大违规案件提级处置；地州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>市负责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>制定本地实施细则、发布培训目录、处置辖区违规行为；县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>市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>区负责开班审核、现场抽查、档案管理、日常培训质量评估。</w:t>
      </w:r>
    </w:p>
    <w:p w14:paraId="2F65F84F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default" w:ascii="黑体" w:hAnsi="黑体" w:eastAsia="黑体" w:cs="黑体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>第二十</w:t>
      </w:r>
      <w:r>
        <w:rPr>
          <w:rFonts w:hint="eastAsia" w:ascii="黑体" w:hAnsi="黑体" w:eastAsia="黑体" w:cs="黑体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>四</w:t>
      </w:r>
      <w:r>
        <w:rPr>
          <w:rFonts w:hint="default" w:ascii="黑体" w:hAnsi="黑体" w:eastAsia="黑体" w:cs="黑体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>条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 xml:space="preserve"> 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>各级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>人社部门通过系统预警、视频巡查、实地抽查、档案核查、随堂听课、电话回访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>等方式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>常态化开展事前、事中、事后全链条监管，落实“双随机、一公开”，线上线下同步开通举报渠道。</w:t>
      </w:r>
    </w:p>
    <w:p w14:paraId="4B34C70C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</w:rPr>
      </w:pPr>
      <w:r>
        <w:rPr>
          <w:rFonts w:hint="default" w:ascii="黑体" w:hAnsi="黑体" w:eastAsia="黑体" w:cs="黑体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>第二十</w:t>
      </w:r>
      <w:r>
        <w:rPr>
          <w:rFonts w:hint="eastAsia" w:ascii="黑体" w:hAnsi="黑体" w:eastAsia="黑体" w:cs="黑体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>五</w:t>
      </w:r>
      <w:r>
        <w:rPr>
          <w:rFonts w:hint="default" w:ascii="黑体" w:hAnsi="黑体" w:eastAsia="黑体" w:cs="黑体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>条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 xml:space="preserve"> 搭建人社、网信、公安、市监、教育等多部门信息共享、线索移送、联合执法机制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>。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>实行容错纠错，无心失误且未造成财政资金损失的，免于追责。</w:t>
      </w:r>
    </w:p>
    <w:p w14:paraId="571B1CDF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both"/>
        <w:textAlignment w:val="auto"/>
        <w:rPr>
          <w:rFonts w:hint="default" w:ascii="黑体" w:hAnsi="黑体" w:eastAsia="黑体" w:cs="黑体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</w:pPr>
    </w:p>
    <w:p w14:paraId="0E31E2D8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center"/>
        <w:textAlignment w:val="auto"/>
        <w:rPr>
          <w:rFonts w:hint="default" w:ascii="黑体" w:hAnsi="黑体" w:eastAsia="黑体" w:cs="黑体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default" w:ascii="黑体" w:hAnsi="黑体" w:eastAsia="黑体" w:cs="黑体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>第七章 违规行为分级处置</w:t>
      </w:r>
    </w:p>
    <w:p w14:paraId="6524525A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</w:rPr>
      </w:pPr>
      <w:r>
        <w:rPr>
          <w:rFonts w:hint="default" w:ascii="黑体" w:hAnsi="黑体" w:eastAsia="黑体" w:cs="黑体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>第二十</w:t>
      </w:r>
      <w:r>
        <w:rPr>
          <w:rFonts w:hint="eastAsia" w:ascii="黑体" w:hAnsi="黑体" w:eastAsia="黑体" w:cs="黑体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>六</w:t>
      </w:r>
      <w:r>
        <w:rPr>
          <w:rFonts w:hint="default" w:ascii="黑体" w:hAnsi="黑体" w:eastAsia="黑体" w:cs="黑体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>条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 xml:space="preserve"> 轻微违规（超班额、考勤教案不规范、私自更换教师、违规招生等）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>应当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>约谈机构负责人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>、限期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>10日内整改。</w:t>
      </w:r>
    </w:p>
    <w:p w14:paraId="736E5915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</w:rPr>
      </w:pPr>
      <w:r>
        <w:rPr>
          <w:rFonts w:hint="default" w:ascii="黑体" w:hAnsi="黑体" w:eastAsia="黑体" w:cs="黑体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>第二十</w:t>
      </w:r>
      <w:r>
        <w:rPr>
          <w:rFonts w:hint="eastAsia" w:ascii="黑体" w:hAnsi="黑体" w:eastAsia="黑体" w:cs="黑体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>七</w:t>
      </w:r>
      <w:r>
        <w:rPr>
          <w:rFonts w:hint="default" w:ascii="黑体" w:hAnsi="黑体" w:eastAsia="黑体" w:cs="黑体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>条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 xml:space="preserve"> 一般违规（未按备案计划授课、无资质教师授课、场地变更未报备、无法提供考勤视频、拒不配合监管、年度2次约谈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>等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>）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>应当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>下达整改通知书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>、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>停办当期培训项目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>、限期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>1个月内整改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>、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>整改不合格不得申报新班次。</w:t>
      </w:r>
    </w:p>
    <w:p w14:paraId="7F6C166E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</w:rPr>
      </w:pPr>
      <w:r>
        <w:rPr>
          <w:rFonts w:hint="default" w:ascii="黑体" w:hAnsi="黑体" w:eastAsia="黑体" w:cs="黑体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>第</w:t>
      </w:r>
      <w:r>
        <w:rPr>
          <w:rFonts w:hint="eastAsia" w:ascii="黑体" w:hAnsi="黑体" w:eastAsia="黑体" w:cs="黑体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>二十八</w:t>
      </w:r>
      <w:r>
        <w:rPr>
          <w:rFonts w:hint="default" w:ascii="黑体" w:hAnsi="黑体" w:eastAsia="黑体" w:cs="黑体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>条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 xml:space="preserve"> 严重违规（拒绝组织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>开展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>评价、场地存在重大安全隐患、不合格班次占比超20%、年度收到2份整改通知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>等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>）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>应当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>全区通报批评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>、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>暂停当年及次年全部补贴培训业务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>、限期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>1个月整改。</w:t>
      </w:r>
    </w:p>
    <w:p w14:paraId="6D2C0917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</w:rPr>
      </w:pPr>
      <w:r>
        <w:rPr>
          <w:rFonts w:hint="default" w:ascii="黑体" w:hAnsi="黑体" w:eastAsia="黑体" w:cs="黑体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>第</w:t>
      </w:r>
      <w:r>
        <w:rPr>
          <w:rFonts w:hint="eastAsia" w:ascii="黑体" w:hAnsi="黑体" w:eastAsia="黑体" w:cs="黑体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>二</w:t>
      </w:r>
      <w:r>
        <w:rPr>
          <w:rFonts w:hint="default" w:ascii="黑体" w:hAnsi="黑体" w:eastAsia="黑体" w:cs="黑体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>十</w:t>
      </w:r>
      <w:r>
        <w:rPr>
          <w:rFonts w:hint="eastAsia" w:ascii="黑体" w:hAnsi="黑体" w:eastAsia="黑体" w:cs="黑体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>九</w:t>
      </w:r>
      <w:r>
        <w:rPr>
          <w:rFonts w:hint="default" w:ascii="黑体" w:hAnsi="黑体" w:eastAsia="黑体" w:cs="黑体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>条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 xml:space="preserve"> 特别严重违规（法人涉刑、严重失信、虚构培训伪造材料骗取补贴、转包培训、发生重大安全事故、年度评级 D 级、虚假招生宣传、年度2次全区通报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>等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>）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>应当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>解除培训承接协议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>、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>移出定点机构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>目录、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>失信信息对外公示。</w:t>
      </w:r>
    </w:p>
    <w:p w14:paraId="7D9F0742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both"/>
        <w:textAlignment w:val="auto"/>
        <w:rPr>
          <w:rFonts w:hint="default"/>
          <w:color w:val="auto"/>
          <w:highlight w:val="none"/>
        </w:rPr>
      </w:pPr>
      <w:r>
        <w:rPr>
          <w:rFonts w:hint="default" w:ascii="黑体" w:hAnsi="黑体" w:eastAsia="黑体" w:cs="黑体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>第三十条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 xml:space="preserve"> 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>定点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>机构虚构材料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>骗取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>套取补贴的，全额追回补贴资金，并处骗取金额1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>—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>3倍罚款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>。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>情节严重的，依据《民办教育促进法》《劳动保障监察条例》吊销办学许可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>。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>人社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>系统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>监管人员履职不力、包庇违规机构、徇私舞弊、玩忽职守的，全区通报并依规追责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>。</w:t>
      </w:r>
      <w:r>
        <w:rPr>
          <w:rFonts w:hint="eastAsia" w:ascii="Times New Roman" w:hAnsi="Times New Roman" w:eastAsia="仿宋_GB2312" w:cs="Times New Roman"/>
          <w:i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涉嫌违纪违法线索，分情况移送纪检监察、公安及司法机关处置。</w:t>
      </w:r>
    </w:p>
    <w:p w14:paraId="198EE930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</w:pPr>
      <w:r>
        <w:rPr>
          <w:rFonts w:hint="default" w:ascii="黑体" w:hAnsi="黑体" w:eastAsia="黑体" w:cs="黑体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>第三十</w:t>
      </w:r>
      <w:r>
        <w:rPr>
          <w:rFonts w:hint="eastAsia" w:ascii="黑体" w:hAnsi="黑体" w:eastAsia="黑体" w:cs="黑体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>一</w:t>
      </w:r>
      <w:r>
        <w:rPr>
          <w:rFonts w:hint="default" w:ascii="黑体" w:hAnsi="黑体" w:eastAsia="黑体" w:cs="黑体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>条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 xml:space="preserve"> 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属地人社部门作出处罚、整改、退出处理后，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u w:val="none"/>
          <w:lang w:val="en-US" w:eastAsia="zh-CN"/>
        </w:rPr>
        <w:t>应当在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5个工作日内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将处理情况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逐级上报自治区人社厅备案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自治区人社厅可根据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工作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需要提级调查、重新作出处置决定。</w:t>
      </w:r>
    </w:p>
    <w:p w14:paraId="5B24DAFB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both"/>
        <w:textAlignment w:val="auto"/>
        <w:rPr>
          <w:rFonts w:hint="default" w:ascii="黑体" w:hAnsi="黑体" w:eastAsia="黑体" w:cs="黑体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</w:pPr>
    </w:p>
    <w:p w14:paraId="0F2A2103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center"/>
        <w:textAlignment w:val="auto"/>
        <w:rPr>
          <w:rFonts w:hint="default" w:ascii="黑体" w:hAnsi="黑体" w:eastAsia="黑体" w:cs="黑体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default" w:ascii="黑体" w:hAnsi="黑体" w:eastAsia="黑体" w:cs="黑体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>第八章 保障机制</w:t>
      </w:r>
    </w:p>
    <w:p w14:paraId="7566810B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default" w:ascii="黑体" w:hAnsi="黑体" w:eastAsia="黑体" w:cs="黑体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>第三十</w:t>
      </w:r>
      <w:r>
        <w:rPr>
          <w:rFonts w:hint="eastAsia" w:ascii="黑体" w:hAnsi="黑体" w:eastAsia="黑体" w:cs="黑体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>二</w:t>
      </w:r>
      <w:r>
        <w:rPr>
          <w:rFonts w:hint="default" w:ascii="黑体" w:hAnsi="黑体" w:eastAsia="黑体" w:cs="黑体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>条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 xml:space="preserve"> 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>各地要强化预算硬约束，各级人社部门在编制下一年度预算时，同步确定培训计划，确保年度职业技能培训所需资金与培训计划相匹配。各级财政部门应当根据同级人社部门申请，统筹中央、地方资金，将审核通过后的职业培训补贴纳入年度预算。</w:t>
      </w:r>
    </w:p>
    <w:p w14:paraId="1D90109A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default" w:ascii="黑体" w:hAnsi="黑体" w:eastAsia="黑体" w:cs="黑体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>第三十</w:t>
      </w:r>
      <w:r>
        <w:rPr>
          <w:rFonts w:hint="eastAsia" w:ascii="黑体" w:hAnsi="黑体" w:eastAsia="黑体" w:cs="黑体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>三</w:t>
      </w:r>
      <w:r>
        <w:rPr>
          <w:rFonts w:hint="default" w:ascii="黑体" w:hAnsi="黑体" w:eastAsia="黑体" w:cs="黑体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>条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 xml:space="preserve"> 各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>地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>要强化预算执行，人社部门及时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>审核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>职业培训补贴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>申请资料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>，财政部门及时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>足额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>拨付，严禁挤占、截留、滞拨资金。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>各级人社部门要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>完善廉政风险防控机制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>，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>常态化开展经办人员政策、业务系统操作培训。</w:t>
      </w:r>
    </w:p>
    <w:p w14:paraId="41F5B6AE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default" w:ascii="黑体" w:hAnsi="黑体" w:eastAsia="黑体" w:cs="黑体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>第三十</w:t>
      </w:r>
      <w:r>
        <w:rPr>
          <w:rFonts w:hint="eastAsia" w:ascii="黑体" w:hAnsi="黑体" w:eastAsia="黑体" w:cs="黑体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>四</w:t>
      </w:r>
      <w:r>
        <w:rPr>
          <w:rFonts w:hint="default" w:ascii="黑体" w:hAnsi="黑体" w:eastAsia="黑体" w:cs="黑体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>条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 xml:space="preserve"> 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>各地要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>督促企业足额提取职工教育经费并享受税前扣除，企业申领的培训补贴可按规定自主支配使用。职业（技工）学校开展有偿性社会培训所取得的收入，在合理扣除当期直接成本后，可按不超过20%的比例提取资金作为办学经费自主安排使用；公办职业学校所取得的收入可按不超过80%的比例作为绩效工资来源，用于支付本校教师和其他培训教师的劳动报酬。</w:t>
      </w:r>
    </w:p>
    <w:p w14:paraId="6E33A4E7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both"/>
        <w:textAlignment w:val="auto"/>
        <w:rPr>
          <w:rFonts w:hint="default" w:ascii="黑体" w:hAnsi="黑体" w:eastAsia="黑体" w:cs="黑体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</w:pPr>
    </w:p>
    <w:p w14:paraId="298C83C2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center"/>
        <w:textAlignment w:val="auto"/>
        <w:rPr>
          <w:rFonts w:hint="default" w:ascii="黑体" w:hAnsi="黑体" w:eastAsia="黑体" w:cs="黑体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default" w:ascii="黑体" w:hAnsi="黑体" w:eastAsia="黑体" w:cs="黑体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>第九章 附</w:t>
      </w:r>
      <w:r>
        <w:rPr>
          <w:rFonts w:hint="eastAsia" w:ascii="黑体" w:hAnsi="黑体" w:eastAsia="黑体" w:cs="黑体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 xml:space="preserve"> </w:t>
      </w:r>
      <w:r>
        <w:rPr>
          <w:rFonts w:hint="default" w:ascii="黑体" w:hAnsi="黑体" w:eastAsia="黑体" w:cs="黑体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>则</w:t>
      </w:r>
    </w:p>
    <w:p w14:paraId="53D7FB5F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default" w:ascii="黑体" w:hAnsi="黑体" w:eastAsia="黑体" w:cs="黑体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>第三十</w:t>
      </w:r>
      <w:r>
        <w:rPr>
          <w:rFonts w:hint="eastAsia" w:ascii="黑体" w:hAnsi="黑体" w:eastAsia="黑体" w:cs="黑体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>五</w:t>
      </w:r>
      <w:r>
        <w:rPr>
          <w:rFonts w:hint="default" w:ascii="黑体" w:hAnsi="黑体" w:eastAsia="黑体" w:cs="黑体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>条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 xml:space="preserve"> 本办法自2026年XX月XX日起施行，有效期至2031年XX月XX日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>；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>《新疆维吾尔自治区职业培训补贴办法》（新人社发〔2009〕35号）同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>时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>废止；国家、自治区出台新政策的，按新政策执行。</w:t>
      </w:r>
    </w:p>
    <w:p w14:paraId="492564EF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</w:rPr>
      </w:pPr>
      <w:r>
        <w:rPr>
          <w:rFonts w:hint="default" w:ascii="黑体" w:hAnsi="黑体" w:eastAsia="黑体" w:cs="黑体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>第三十</w:t>
      </w:r>
      <w:r>
        <w:rPr>
          <w:rFonts w:hint="eastAsia" w:ascii="黑体" w:hAnsi="黑体" w:eastAsia="黑体" w:cs="黑体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>六</w:t>
      </w:r>
      <w:r>
        <w:rPr>
          <w:rFonts w:hint="default" w:ascii="黑体" w:hAnsi="黑体" w:eastAsia="黑体" w:cs="黑体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>条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 xml:space="preserve"> 办法实施前已开班但未结业的班次，沿用原有政策；已结业未申报补贴的，需在本办法实施之日起3个月内完成申报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>，逾期不再受理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>；实施后新开班次统一适用本办法。</w:t>
      </w:r>
    </w:p>
    <w:p w14:paraId="0890A2AE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</w:rPr>
      </w:pPr>
      <w:r>
        <w:rPr>
          <w:rFonts w:hint="default" w:ascii="黑体" w:hAnsi="黑体" w:eastAsia="黑体" w:cs="黑体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>第</w:t>
      </w:r>
      <w:r>
        <w:rPr>
          <w:rFonts w:hint="eastAsia" w:ascii="黑体" w:hAnsi="黑体" w:eastAsia="黑体" w:cs="黑体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>三十七</w:t>
      </w:r>
      <w:r>
        <w:rPr>
          <w:rFonts w:hint="default" w:ascii="黑体" w:hAnsi="黑体" w:eastAsia="黑体" w:cs="黑体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>条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 xml:space="preserve"> 本办法由自治区人社厅负责解释，各地可结合本地实际制定配套实施细则。</w:t>
      </w:r>
      <w:bookmarkStart w:id="0" w:name="_GoBack"/>
      <w:bookmarkEnd w:id="0"/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7DF2957"/>
    <w:rsid w:val="0ADE860E"/>
    <w:rsid w:val="0BD7661A"/>
    <w:rsid w:val="0BE56CC8"/>
    <w:rsid w:val="0CFBCC54"/>
    <w:rsid w:val="0F7F1AF9"/>
    <w:rsid w:val="0FD07860"/>
    <w:rsid w:val="0FDEC425"/>
    <w:rsid w:val="15DF3791"/>
    <w:rsid w:val="17AFF853"/>
    <w:rsid w:val="1C3EEBAB"/>
    <w:rsid w:val="1EAE94BE"/>
    <w:rsid w:val="1F761B6F"/>
    <w:rsid w:val="24FF52C7"/>
    <w:rsid w:val="2BEE0C02"/>
    <w:rsid w:val="2BFFA7EA"/>
    <w:rsid w:val="2DF751B8"/>
    <w:rsid w:val="2EFF952B"/>
    <w:rsid w:val="3576C7D4"/>
    <w:rsid w:val="35C65513"/>
    <w:rsid w:val="39FE93B6"/>
    <w:rsid w:val="3AD67CE1"/>
    <w:rsid w:val="3BCDDE24"/>
    <w:rsid w:val="3BDAECB3"/>
    <w:rsid w:val="3BFE83FE"/>
    <w:rsid w:val="3C9DB983"/>
    <w:rsid w:val="3CEF2E23"/>
    <w:rsid w:val="3DDD77FD"/>
    <w:rsid w:val="3EAB318F"/>
    <w:rsid w:val="3EEF1A61"/>
    <w:rsid w:val="3F77554E"/>
    <w:rsid w:val="3FB9D900"/>
    <w:rsid w:val="3FC50DE3"/>
    <w:rsid w:val="3FCE70E7"/>
    <w:rsid w:val="3FEDB734"/>
    <w:rsid w:val="3FEEB79A"/>
    <w:rsid w:val="3FFD3D4B"/>
    <w:rsid w:val="3FFF4EDA"/>
    <w:rsid w:val="4D2DC7B9"/>
    <w:rsid w:val="4D6F475D"/>
    <w:rsid w:val="4F5FDFD8"/>
    <w:rsid w:val="4F678F33"/>
    <w:rsid w:val="4FF59038"/>
    <w:rsid w:val="4FFEA949"/>
    <w:rsid w:val="5139F698"/>
    <w:rsid w:val="52DF4AB1"/>
    <w:rsid w:val="55D99826"/>
    <w:rsid w:val="55F038C2"/>
    <w:rsid w:val="56EFC60D"/>
    <w:rsid w:val="57558686"/>
    <w:rsid w:val="5BDCFF07"/>
    <w:rsid w:val="5BFBE648"/>
    <w:rsid w:val="5CBD5A02"/>
    <w:rsid w:val="5D3B750F"/>
    <w:rsid w:val="5D6EA4C1"/>
    <w:rsid w:val="5DBD43CF"/>
    <w:rsid w:val="5E7DC056"/>
    <w:rsid w:val="5EB58BF5"/>
    <w:rsid w:val="5EBDE4F6"/>
    <w:rsid w:val="5EBF3B88"/>
    <w:rsid w:val="5ECFEE38"/>
    <w:rsid w:val="5F37E604"/>
    <w:rsid w:val="5F7DF95E"/>
    <w:rsid w:val="5FADDE7E"/>
    <w:rsid w:val="5FE7DCA3"/>
    <w:rsid w:val="5FEFA489"/>
    <w:rsid w:val="5FF91CE2"/>
    <w:rsid w:val="5FFEF0BF"/>
    <w:rsid w:val="5FFFAD0D"/>
    <w:rsid w:val="62DF93C8"/>
    <w:rsid w:val="6521DC46"/>
    <w:rsid w:val="66F7280B"/>
    <w:rsid w:val="67AD93DF"/>
    <w:rsid w:val="69FFFFC3"/>
    <w:rsid w:val="6A934A73"/>
    <w:rsid w:val="6B3CA5B8"/>
    <w:rsid w:val="6B7D7436"/>
    <w:rsid w:val="6BE8E78F"/>
    <w:rsid w:val="6DF7C206"/>
    <w:rsid w:val="6DFD0D90"/>
    <w:rsid w:val="6DFF979E"/>
    <w:rsid w:val="6EFFE74C"/>
    <w:rsid w:val="6F7B0485"/>
    <w:rsid w:val="6FEF8ED3"/>
    <w:rsid w:val="71FFC8EF"/>
    <w:rsid w:val="72FEDD5B"/>
    <w:rsid w:val="736F17C9"/>
    <w:rsid w:val="75660967"/>
    <w:rsid w:val="7576FCAA"/>
    <w:rsid w:val="75F71CC7"/>
    <w:rsid w:val="767BAE10"/>
    <w:rsid w:val="76EB2D24"/>
    <w:rsid w:val="771DA535"/>
    <w:rsid w:val="77516DA6"/>
    <w:rsid w:val="777E02BD"/>
    <w:rsid w:val="77B34A22"/>
    <w:rsid w:val="77D4687B"/>
    <w:rsid w:val="77DF17E4"/>
    <w:rsid w:val="77EF2B72"/>
    <w:rsid w:val="77F7F853"/>
    <w:rsid w:val="77FBB7D5"/>
    <w:rsid w:val="79BFD3E6"/>
    <w:rsid w:val="7A27CA50"/>
    <w:rsid w:val="7A468D60"/>
    <w:rsid w:val="7B077B5D"/>
    <w:rsid w:val="7B7F0989"/>
    <w:rsid w:val="7B7F7A08"/>
    <w:rsid w:val="7BBBBB8C"/>
    <w:rsid w:val="7BBE2EB2"/>
    <w:rsid w:val="7BF782AB"/>
    <w:rsid w:val="7BFEE594"/>
    <w:rsid w:val="7D2F3261"/>
    <w:rsid w:val="7D5F7602"/>
    <w:rsid w:val="7D8D07E2"/>
    <w:rsid w:val="7DA43C78"/>
    <w:rsid w:val="7DDA2FE6"/>
    <w:rsid w:val="7DF648CF"/>
    <w:rsid w:val="7DFE1F3E"/>
    <w:rsid w:val="7DFED016"/>
    <w:rsid w:val="7E3D7B2A"/>
    <w:rsid w:val="7E6E1E7D"/>
    <w:rsid w:val="7EDF9D68"/>
    <w:rsid w:val="7EE72DBD"/>
    <w:rsid w:val="7EE7CB5B"/>
    <w:rsid w:val="7EEC37D4"/>
    <w:rsid w:val="7EF97D50"/>
    <w:rsid w:val="7EFF7128"/>
    <w:rsid w:val="7F439BC6"/>
    <w:rsid w:val="7FAAF8CD"/>
    <w:rsid w:val="7FBE1578"/>
    <w:rsid w:val="7FD7B1B6"/>
    <w:rsid w:val="7FD90A6A"/>
    <w:rsid w:val="7FDE6E43"/>
    <w:rsid w:val="7FFCE71F"/>
    <w:rsid w:val="7FFDBF88"/>
    <w:rsid w:val="7FFDC4B3"/>
    <w:rsid w:val="7FFE8BEC"/>
    <w:rsid w:val="7FFE9903"/>
    <w:rsid w:val="7FFF83EE"/>
    <w:rsid w:val="92FD6AE6"/>
    <w:rsid w:val="976D6646"/>
    <w:rsid w:val="9DD12B49"/>
    <w:rsid w:val="9EFF87F5"/>
    <w:rsid w:val="9F3F7279"/>
    <w:rsid w:val="9F77CB67"/>
    <w:rsid w:val="9F7FD56F"/>
    <w:rsid w:val="9FF79FE5"/>
    <w:rsid w:val="9FFFB633"/>
    <w:rsid w:val="A2DB8225"/>
    <w:rsid w:val="AB5DC2B2"/>
    <w:rsid w:val="AEFC5944"/>
    <w:rsid w:val="AF9BD865"/>
    <w:rsid w:val="AFDF46E3"/>
    <w:rsid w:val="AFF6BF75"/>
    <w:rsid w:val="AFFF18C1"/>
    <w:rsid w:val="B3352888"/>
    <w:rsid w:val="B4BFF333"/>
    <w:rsid w:val="B56FDD52"/>
    <w:rsid w:val="B73AAB66"/>
    <w:rsid w:val="B7A7FF20"/>
    <w:rsid w:val="B7DBFB8E"/>
    <w:rsid w:val="B8F730DB"/>
    <w:rsid w:val="B8FE0303"/>
    <w:rsid w:val="B9FD91A5"/>
    <w:rsid w:val="BA73F981"/>
    <w:rsid w:val="BA7C49BD"/>
    <w:rsid w:val="BB7B9385"/>
    <w:rsid w:val="BB7FDA86"/>
    <w:rsid w:val="BBE703C5"/>
    <w:rsid w:val="BEB78CAB"/>
    <w:rsid w:val="BF632096"/>
    <w:rsid w:val="BF7FA75D"/>
    <w:rsid w:val="BF9A4215"/>
    <w:rsid w:val="BFCE2DE0"/>
    <w:rsid w:val="BFFAB93E"/>
    <w:rsid w:val="C79F5221"/>
    <w:rsid w:val="C99BE59D"/>
    <w:rsid w:val="CBFFE530"/>
    <w:rsid w:val="CF7F18F9"/>
    <w:rsid w:val="CF96CEF6"/>
    <w:rsid w:val="CFFE909E"/>
    <w:rsid w:val="D2E77B7E"/>
    <w:rsid w:val="D6F7AA26"/>
    <w:rsid w:val="D7BBCEB2"/>
    <w:rsid w:val="DA7F23F9"/>
    <w:rsid w:val="DCBC2298"/>
    <w:rsid w:val="DEF373D9"/>
    <w:rsid w:val="DF769AB9"/>
    <w:rsid w:val="DF77FEFF"/>
    <w:rsid w:val="DF7F1E84"/>
    <w:rsid w:val="DF7F7943"/>
    <w:rsid w:val="DFAFFFD6"/>
    <w:rsid w:val="DFB7F16A"/>
    <w:rsid w:val="DFBDCCD7"/>
    <w:rsid w:val="DFBF46A4"/>
    <w:rsid w:val="DFD20C31"/>
    <w:rsid w:val="DFEB3F3A"/>
    <w:rsid w:val="DFFC81FE"/>
    <w:rsid w:val="E3F63208"/>
    <w:rsid w:val="E4BB6125"/>
    <w:rsid w:val="E6EF7767"/>
    <w:rsid w:val="E78A7958"/>
    <w:rsid w:val="E979C8F6"/>
    <w:rsid w:val="EAFB2B2D"/>
    <w:rsid w:val="EBF7EC0E"/>
    <w:rsid w:val="EBFE2802"/>
    <w:rsid w:val="EBFF7B01"/>
    <w:rsid w:val="ED1D926B"/>
    <w:rsid w:val="ED5F836E"/>
    <w:rsid w:val="EE7A44AF"/>
    <w:rsid w:val="EEF718F4"/>
    <w:rsid w:val="EF7519B0"/>
    <w:rsid w:val="EF7F4539"/>
    <w:rsid w:val="EFD3DA58"/>
    <w:rsid w:val="EFDFFE8F"/>
    <w:rsid w:val="EFFF9A11"/>
    <w:rsid w:val="EFFFD1AE"/>
    <w:rsid w:val="F172C73A"/>
    <w:rsid w:val="F1EF2048"/>
    <w:rsid w:val="F2F7BC93"/>
    <w:rsid w:val="F2FD2313"/>
    <w:rsid w:val="F39B6552"/>
    <w:rsid w:val="F3FBDB0E"/>
    <w:rsid w:val="F4F5CFBA"/>
    <w:rsid w:val="F4F7AB0F"/>
    <w:rsid w:val="F5F77C79"/>
    <w:rsid w:val="F5FFB9F4"/>
    <w:rsid w:val="F6F7ECAD"/>
    <w:rsid w:val="F79B8159"/>
    <w:rsid w:val="F7BF0B76"/>
    <w:rsid w:val="F7E3073C"/>
    <w:rsid w:val="F7EB600C"/>
    <w:rsid w:val="F7F7D89D"/>
    <w:rsid w:val="F7F9E0DB"/>
    <w:rsid w:val="F7F9F08A"/>
    <w:rsid w:val="F7FBAA23"/>
    <w:rsid w:val="F7FDE45B"/>
    <w:rsid w:val="F8DF7ADF"/>
    <w:rsid w:val="FABF602D"/>
    <w:rsid w:val="FAFFD021"/>
    <w:rsid w:val="FB6F493B"/>
    <w:rsid w:val="FBC372FC"/>
    <w:rsid w:val="FBD960AF"/>
    <w:rsid w:val="FBE7CF3D"/>
    <w:rsid w:val="FBF34E2C"/>
    <w:rsid w:val="FBFCB70A"/>
    <w:rsid w:val="FCBBDC7D"/>
    <w:rsid w:val="FD7E6DCB"/>
    <w:rsid w:val="FDBC0FC5"/>
    <w:rsid w:val="FDCFAF64"/>
    <w:rsid w:val="FDDE9D40"/>
    <w:rsid w:val="FDEF2C6A"/>
    <w:rsid w:val="FDFDB5E5"/>
    <w:rsid w:val="FECF97DB"/>
    <w:rsid w:val="FEE3FA79"/>
    <w:rsid w:val="FEEF60AB"/>
    <w:rsid w:val="FEEFB1B6"/>
    <w:rsid w:val="FEF96024"/>
    <w:rsid w:val="FEFA5C5C"/>
    <w:rsid w:val="FF37D051"/>
    <w:rsid w:val="FF673144"/>
    <w:rsid w:val="FF7DE659"/>
    <w:rsid w:val="FF9F7B79"/>
    <w:rsid w:val="FFAD8395"/>
    <w:rsid w:val="FFB78A77"/>
    <w:rsid w:val="FFBB8AF6"/>
    <w:rsid w:val="FFBBC1AD"/>
    <w:rsid w:val="FFBFF380"/>
    <w:rsid w:val="FFD6B214"/>
    <w:rsid w:val="FFD7C413"/>
    <w:rsid w:val="FFD7EF08"/>
    <w:rsid w:val="FFDE4EB2"/>
    <w:rsid w:val="FFE7F6C5"/>
    <w:rsid w:val="FFE9BD32"/>
    <w:rsid w:val="FFEFD039"/>
    <w:rsid w:val="FFFAB016"/>
    <w:rsid w:val="FFFB24AB"/>
    <w:rsid w:val="FFFD9B8C"/>
    <w:rsid w:val="FFFDD937"/>
    <w:rsid w:val="FFFF0078"/>
    <w:rsid w:val="FFFFB192"/>
    <w:rsid w:val="FFFFBC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4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5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6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paragraph" w:styleId="7">
    <w:name w:val="heading 4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4"/>
      <w:szCs w:val="24"/>
      <w:lang w:val="en-US" w:eastAsia="zh-CN" w:bidi="ar"/>
    </w:rPr>
  </w:style>
  <w:style w:type="character" w:default="1" w:styleId="10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qFormat/>
    <w:uiPriority w:val="0"/>
    <w:pPr>
      <w:ind w:firstLine="420" w:firstLineChars="100"/>
    </w:pPr>
  </w:style>
  <w:style w:type="paragraph" w:styleId="3">
    <w:name w:val="Body Text"/>
    <w:basedOn w:val="1"/>
    <w:qFormat/>
    <w:uiPriority w:val="0"/>
    <w:pPr>
      <w:spacing w:before="0" w:after="140" w:line="276" w:lineRule="auto"/>
    </w:pPr>
  </w:style>
  <w:style w:type="paragraph" w:styleId="8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Office_12.1.2.23578_F1E327BC-269C-435d-A152-05C5408002CA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2026-07-20T17:15:00Z</dcterms:created>
  <dc:creator>hexin</dc:creator>
  <cp:lastModifiedBy>user</cp:lastModifiedBy>
  <dcterms:modified xsi:type="dcterms:W3CDTF">2026-09-07T19:35:14Z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2052-12.1.2.23578</vt:lpwstr>
  </property>
  <property fmtid="{D5CDD505-2E9C-101B-9397-08002B2CF9AE}" pid="3" name="KSOTemplateDocerSaveRecord">
    <vt:lpwstr>eyJoZGlkIjoiMDhlOTQ3OWZiMTEzZWNkNGExMzJkNDhmOWNhZTQzOWMiLCJ1c2VySWQiOiIxNDMxNzYyMzczIn0=</vt:lpwstr>
  </property>
  <property fmtid="{D5CDD505-2E9C-101B-9397-08002B2CF9AE}" pid="4" name="ICV">
    <vt:lpwstr>FE9EE39FF0484BB9BEF55191BFCCD1A1_12</vt:lpwstr>
  </property>
</Properties>
</file>