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both"/>
        <w:textAlignment w:val="baseline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rPr>
          <w:rFonts w:hint="eastAsia" w:ascii="Times New Roman" w:hAnsi="Times New Roman" w:eastAsia="仿宋_GB2312"/>
          <w:b/>
          <w:color w:val="auto"/>
          <w:spacing w:val="-10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pacing w:val="-10"/>
          <w:sz w:val="28"/>
          <w:szCs w:val="28"/>
          <w:highlight w:val="none"/>
        </w:rPr>
        <w:t>编号：</w:t>
      </w:r>
      <w:r>
        <w:rPr>
          <w:rFonts w:hint="eastAsia" w:ascii="Times New Roman" w:hAnsi="Times New Roman" w:eastAsia="仿宋_GB2312" w:cs="宋体-18030"/>
          <w:color w:val="auto"/>
          <w:sz w:val="28"/>
          <w:szCs w:val="28"/>
          <w:highlight w:val="none"/>
        </w:rPr>
        <w:t>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Times New Roman" w:hAnsi="Times New Roman" w:eastAsia="仿宋_GB2312"/>
          <w:color w:val="auto"/>
          <w:spacing w:val="-10"/>
          <w:sz w:val="24"/>
          <w:highlight w:val="none"/>
        </w:rPr>
      </w:pPr>
    </w:p>
    <w:p>
      <w:pPr>
        <w:keepNext w:val="0"/>
        <w:keepLines w:val="0"/>
        <w:pageBreakBefore w:val="0"/>
        <w:tabs>
          <w:tab w:val="center" w:pos="4365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政府补贴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培训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协议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书</w:t>
      </w:r>
    </w:p>
    <w:p>
      <w:pPr>
        <w:keepNext w:val="0"/>
        <w:keepLines w:val="0"/>
        <w:pageBreakBefore w:val="0"/>
        <w:tabs>
          <w:tab w:val="center" w:pos="4365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1"/>
        <w:rPr>
          <w:rFonts w:hint="eastAsia" w:ascii="Times New Roman" w:hAnsi="Times New Roman" w:eastAsia="楷体_GB2312" w:cs="楷体_GB2312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楷体_GB2312" w:cs="楷体_GB2312"/>
          <w:color w:val="auto"/>
          <w:sz w:val="36"/>
          <w:szCs w:val="36"/>
          <w:highlight w:val="none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6"/>
          <w:szCs w:val="36"/>
          <w:highlight w:val="none"/>
          <w:lang w:eastAsia="zh-CN"/>
        </w:rPr>
        <w:t>参考文本</w:t>
      </w:r>
      <w:r>
        <w:rPr>
          <w:rFonts w:hint="eastAsia" w:ascii="Times New Roman" w:hAnsi="Times New Roman" w:eastAsia="楷体_GB2312" w:cs="楷体_GB2312"/>
          <w:color w:val="auto"/>
          <w:sz w:val="36"/>
          <w:szCs w:val="36"/>
          <w:highlight w:val="none"/>
        </w:rPr>
        <w:t>）</w:t>
      </w:r>
    </w:p>
    <w:p>
      <w:pPr>
        <w:keepNext w:val="0"/>
        <w:keepLines w:val="0"/>
        <w:pageBreakBefore w:val="0"/>
        <w:tabs>
          <w:tab w:val="center" w:pos="4365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Times New Roman" w:hAnsi="Times New Roman" w:eastAsia="黑体"/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甲方：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</w:rPr>
        <w:t xml:space="preserve">                       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人社部门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乙方：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</w:rPr>
        <w:t xml:space="preserve">                       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（培训机构）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为贯彻落实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职业技能培训法律法规及相关规定，切实做好政府补贴职业培训项目的组织实施和监督管理工作，经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双方平等协商，签订本协议。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  <w:t>一、协议事项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经乙方申请，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甲方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审核同意乙方在相关部门批准职业（工种）和技能等级范围内，按照相关规定承接政府补贴职业培训项目。乙方承诺按照职业技能培训相关规定，在甲方的业务指导和监督管理下，组织开展政府补贴职业培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  <w:t>二、协议期限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自本协议生效之日起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1年（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日至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日）内有效。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</w:rPr>
        <w:t>甲方的权利</w:t>
      </w: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  <w:t>义务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both"/>
        <w:textAlignment w:val="auto"/>
        <w:outlineLvl w:val="1"/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（一）权利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承接的政府补贴职业培训项目，进行开班审核、日常管理和业务指导；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承接的政府补贴职业培训项目，进行抽查检查和培训效果评估；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承接的政府补贴职业培训项目实施过程中发现的问题进行查核，并依据有关规定进行处理。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与乙方签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订本协议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后，向社会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发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布乙方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可承接的政府补贴职业培训项目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  <w:t>相关信息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.为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开展政府补贴职业培训项目提供政策咨询、工作指导，帮助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协调解决培训中出现的相关问题；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3.受理、审核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提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交的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政府补贴职业培训项目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补贴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资金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申请，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符合条件的，按照相关规定及时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拨付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补贴资金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</w:rPr>
        <w:t>、乙方的权利</w:t>
      </w: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outlineLvl w:val="1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（一）权利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eastAsia="zh-CN"/>
        </w:rPr>
        <w:t>按照相关部门批准职业（工种）和技能等级，申请承接政府补贴职业培训项目；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z w:val="32"/>
          <w:szCs w:val="32"/>
          <w:highlight w:val="none"/>
          <w:lang w:val="en-US" w:eastAsia="zh-CN"/>
        </w:rPr>
        <w:t>2.对承接的政府补贴职业培训项目，按照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国家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职业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技能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标准和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自治区、本市县（区）相关规定，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自主开展职业技能培训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3.完成政府补贴职业培训项目并达到相关审核标准的，享受相应补贴资金。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outlineLvl w:val="1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（二）义务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对承接的政府补贴职业培训项目，严格按照国家职业技能标准、甲方审核批准的培训计划组织实施培训，不得擅自调整培训计划、调换师资、变更培训场地和设施设备；</w:t>
      </w:r>
      <w:r>
        <w:rPr>
          <w:rFonts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对承接的政府补贴职业培训项目，严格按照相关规定对报名参加培训人员进行身份、技能等级等资格条件审核；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default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对参加政府补贴职业培训项目人员，严格进行考勤管理、教学管理和考核评价；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主动接受甲方的业务指导、日常管理和监督检查，并如实提供相关材料，对甲方指出的问题积极进行整改；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遵守《新疆维吾尔自治区政府补贴性职业技能培训管理办法》规定。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</w:rPr>
        <w:t>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在履行本协议期间，乙方出现违反职业培训法律法规及相关规定行为的，按照相关规定进行处理。同时，甲方可根据具体情形暂缓拨付、不予拨付全部或部分补贴资金，对已拨付的补贴资金全部或部分予以追回。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乙方在本协议履行期间，有下列情形之一的，甲方可以随时单方面解除本协议，并报自治区人力资源社会保障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厅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备案：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）因违反职业培训相关法律法规受到行政处罚的；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）培训场地、设施设备、师资队伍与签订协议时发生重大变化，不能满足相关培训要求的；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）在培训过程中弄虚作假骗取套取补贴资金的；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）发生重大安全生产事故或发生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群访事件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造成严重不良社会影响的；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在上年度民办职业培训学校等级评价中被确定D级（不达标）等级的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存在培训项目外包、转包行为的；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7）有投诉举报被查实存在违规行为的；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（8）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国家和自治区有关规定调整需要强制解除或终止协议的；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）应当解除协议的其他情形。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　　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乙方被解除协议的，应在甲方指导下妥善做好相关后续工作。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</w:rPr>
        <w:t>、其他</w:t>
      </w:r>
      <w:r>
        <w:rPr>
          <w:rFonts w:hint="eastAsia" w:ascii="Times New Roman" w:hAnsi="Times New Roman" w:eastAsia="黑体" w:cs="宋体-18030"/>
          <w:color w:val="auto"/>
          <w:sz w:val="32"/>
          <w:szCs w:val="32"/>
          <w:highlight w:val="none"/>
          <w:lang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甲乙双方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经协商一致，可以按照有关规定变更、解除或终止本协议。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因国家和自治区政府补贴职业培训项目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调整，乙方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承接的全部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培训项目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未纳入补贴范围的，本协议自动终止。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甲乙双方就其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他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未尽事宜订立以下补充条款：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outlineLvl w:val="1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（1）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u w:val="single"/>
        </w:rPr>
        <w:t xml:space="preserve">                                            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outlineLvl w:val="1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（2）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u w:val="single"/>
        </w:rPr>
        <w:t xml:space="preserve">                                            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outlineLvl w:val="1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（3）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u w:val="single"/>
        </w:rPr>
        <w:t xml:space="preserve">                                            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本协议附件包括：乙方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的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补贴培训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目录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》《设施设备清单》《教师花名册》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附件作为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本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协议的组成部分，与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本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协议具有同等效力。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在履行本协议过程中发生争议，甲乙双方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应当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协商解决，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经协商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未达成一致的，可向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甲方所在地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6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本协议自甲乙双方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盖章并经法定代表人或负责人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签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字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之日起生效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。本协议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一式四份，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双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各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执二份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eastAsia="zh-CN"/>
        </w:rPr>
        <w:t>，具有同等法律效力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 xml:space="preserve">甲方：（盖章）          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 xml:space="preserve">   乙方：（盖章）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法定代表人：（签字）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4" w:firstLineChars="200"/>
        <w:jc w:val="both"/>
        <w:textAlignment w:val="auto"/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签订日期：  年  月 日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-18030"/>
          <w:color w:val="auto"/>
          <w:spacing w:val="-4"/>
          <w:sz w:val="32"/>
          <w:szCs w:val="32"/>
          <w:highlight w:val="none"/>
        </w:rPr>
        <w:t>签订日期：  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/>
        <w:jc w:val="both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eastAsia="黑体" w:cs="Times New Roman"/>
          <w:color w:val="auto"/>
          <w:sz w:val="32"/>
          <w:szCs w:val="32"/>
          <w:highlight w:val="none"/>
          <w:lang w:eastAsia="zh-CN"/>
        </w:rPr>
        <w:t>协议的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default" w:ascii="Times New Roman" w:hAnsi="Times New Roman" w:eastAsia="仿宋_GB2312" w:cs="Times New Roman"/>
          <w:b/>
          <w:color w:val="auto"/>
          <w:spacing w:val="8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补贴培训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  <w:t>项目</w:t>
      </w: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  <w:lang w:eastAsia="zh-CN"/>
        </w:rPr>
        <w:t>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</w:rPr>
        <w:t>培训机构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名称：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</w:rPr>
        <w:t>培训机构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地址：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                   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负责人：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办公电话：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手机：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联系人：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办公电话：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手机：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Times New Roman" w:hAnsi="Times New Roman" w:eastAsia="仿宋"/>
          <w:b/>
          <w:color w:val="auto"/>
          <w:sz w:val="28"/>
          <w:szCs w:val="28"/>
          <w:highlight w:val="none"/>
        </w:rPr>
      </w:pPr>
    </w:p>
    <w:tbl>
      <w:tblPr>
        <w:tblStyle w:val="5"/>
        <w:tblW w:w="8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701"/>
        <w:gridCol w:w="1134"/>
        <w:gridCol w:w="1134"/>
        <w:gridCol w:w="2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  <w:t>职业名称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  <w:t>职业编码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  <w:t>最高  等级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  <w:t>同期培训规模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default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/>
          <w:color w:val="auto"/>
          <w:sz w:val="32"/>
          <w:szCs w:val="32"/>
          <w:highlight w:val="none"/>
          <w:lang w:eastAsia="zh-CN"/>
        </w:rPr>
        <w:t>协议</w:t>
      </w:r>
      <w:r>
        <w:rPr>
          <w:rFonts w:hint="eastAsia" w:eastAsia="黑体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eastAsia="黑体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  <w:t>设施设备清单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ascii="Times New Roman" w:hAnsi="Times New Roman" w:eastAsia="仿宋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color w:val="auto"/>
          <w:sz w:val="28"/>
          <w:szCs w:val="28"/>
          <w:highlight w:val="none"/>
        </w:rPr>
        <w:t>培训机构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名称（加盖公章）：</w:t>
      </w:r>
    </w:p>
    <w:tbl>
      <w:tblPr>
        <w:tblStyle w:val="5"/>
        <w:tblW w:w="9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40"/>
        <w:gridCol w:w="1860"/>
        <w:gridCol w:w="1725"/>
        <w:gridCol w:w="124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培训职业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设备名称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设备型号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8"/>
                <w:szCs w:val="28"/>
                <w:highlight w:val="none"/>
                <w:lang w:eastAsia="zh-CN"/>
              </w:rPr>
              <w:t>自有</w:t>
            </w:r>
            <w:r>
              <w:rPr>
                <w:rFonts w:hint="default" w:ascii="Times New Roman" w:hAnsi="Times New Roman" w:eastAsia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14" w:firstLineChars="0"/>
        <w:jc w:val="both"/>
        <w:rPr>
          <w:rFonts w:hint="eastAsia" w:eastAsia="黑体" w:cs="Times New Roman"/>
          <w:color w:val="auto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14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eastAsia="黑体" w:cs="Times New Roman"/>
          <w:color w:val="auto"/>
          <w:sz w:val="32"/>
          <w:szCs w:val="32"/>
          <w:highlight w:val="none"/>
          <w:lang w:eastAsia="zh-CN"/>
        </w:rPr>
        <w:t>协议的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outlineLvl w:val="0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  <w:highlight w:val="none"/>
        </w:rPr>
        <w:t>教师花名册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50" w:firstLineChars="50"/>
        <w:jc w:val="both"/>
        <w:outlineLvl w:val="0"/>
        <w:rPr>
          <w:rFonts w:ascii="Times New Roman" w:hAnsi="Times New Roman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/>
          <w:color w:val="auto"/>
          <w:sz w:val="30"/>
          <w:szCs w:val="30"/>
          <w:highlight w:val="none"/>
        </w:rPr>
        <w:t>培训机构</w:t>
      </w:r>
      <w:r>
        <w:rPr>
          <w:rFonts w:ascii="Times New Roman" w:hAnsi="Times New Roman" w:eastAsia="仿宋"/>
          <w:color w:val="auto"/>
          <w:sz w:val="28"/>
          <w:szCs w:val="28"/>
          <w:highlight w:val="none"/>
        </w:rPr>
        <w:t>名称（加盖公章）：</w:t>
      </w:r>
    </w:p>
    <w:tbl>
      <w:tblPr>
        <w:tblStyle w:val="5"/>
        <w:tblW w:w="13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59"/>
        <w:gridCol w:w="709"/>
        <w:gridCol w:w="709"/>
        <w:gridCol w:w="730"/>
        <w:gridCol w:w="1538"/>
        <w:gridCol w:w="1417"/>
        <w:gridCol w:w="1985"/>
        <w:gridCol w:w="992"/>
        <w:gridCol w:w="2126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职业资格名称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资格  等级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担任培训课程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  <w:t>专职/  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ascii="Times New Roman" w:hAnsi="Times New Roman" w:eastAsia="仿宋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rPr>
                <w:rFonts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5986ED4"/>
    <w:rsid w:val="3CF433A2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2024-05-11T09:15:41Z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