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特级技师证书编码规则</w:t>
      </w:r>
    </w:p>
    <w:bookmarkEnd w:id="0"/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级技师证书编码由2位大写英文字母和20位阿拉伯数字组成，主要包括7个部分：1.评价机构类别代码；2.评价机构代码；3.评价机构（站点）所在地省级代码；4.评价机构（站点）序列码；5.证书核发年份代码；6.职业技能等级代码；7.证书序列码。其中，第1-4部分由人力资源社会保障部门赋码，第5-7部分由评价机构赋码。具体表现形式见下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="217" w:afterLines="50" w:line="540" w:lineRule="exact"/>
        <w:jc w:val="center"/>
        <w:textAlignment w:val="auto"/>
        <w:rPr>
          <w:rFonts w:ascii="黑体" w:hAnsi="黑体" w:eastAsia="黑体" w:cs="仿宋_GB2312"/>
          <w:sz w:val="24"/>
          <w:szCs w:val="24"/>
        </w:rPr>
      </w:pPr>
      <w:r>
        <w:rPr>
          <w:rFonts w:hint="eastAsia" w:ascii="黑体" w:hAnsi="黑体" w:eastAsia="黑体" w:cs="仿宋_GB2312"/>
          <w:sz w:val="24"/>
          <w:szCs w:val="24"/>
        </w:rPr>
        <w:t>证书编码构成</w:t>
      </w:r>
    </w:p>
    <w:tbl>
      <w:tblPr>
        <w:tblStyle w:val="7"/>
        <w:tblW w:w="9589" w:type="dxa"/>
        <w:jc w:val="center"/>
        <w:tblInd w:w="-5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7"/>
        <w:gridCol w:w="339"/>
        <w:gridCol w:w="339"/>
        <w:gridCol w:w="339"/>
        <w:gridCol w:w="339"/>
        <w:gridCol w:w="339"/>
        <w:gridCol w:w="339"/>
        <w:gridCol w:w="339"/>
        <w:gridCol w:w="339"/>
        <w:gridCol w:w="436"/>
        <w:gridCol w:w="436"/>
        <w:gridCol w:w="436"/>
        <w:gridCol w:w="385"/>
        <w:gridCol w:w="436"/>
        <w:gridCol w:w="436"/>
        <w:gridCol w:w="671"/>
        <w:gridCol w:w="545"/>
        <w:gridCol w:w="436"/>
        <w:gridCol w:w="436"/>
        <w:gridCol w:w="437"/>
        <w:gridCol w:w="437"/>
        <w:gridCol w:w="4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-92" w:leftChars="-44" w:right="-128" w:rightChars="-61"/>
              <w:jc w:val="center"/>
              <w:textAlignment w:val="auto"/>
              <w:rPr>
                <w:rFonts w:ascii="黑体" w:hAnsi="仿宋_GB2312" w:eastAsia="黑体" w:cs="仿宋_GB2312"/>
                <w:sz w:val="18"/>
                <w:szCs w:val="18"/>
              </w:rPr>
            </w:pPr>
            <w:r>
              <w:rPr>
                <w:rFonts w:hint="eastAsia" w:ascii="黑体" w:hAnsi="仿宋_GB2312" w:eastAsia="黑体" w:cs="仿宋_GB2312"/>
                <w:sz w:val="18"/>
                <w:szCs w:val="18"/>
              </w:rPr>
              <w:t>序号</w:t>
            </w:r>
          </w:p>
        </w:tc>
        <w:tc>
          <w:tcPr>
            <w:tcW w:w="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jc w:val="center"/>
              <w:textAlignment w:val="auto"/>
              <w:rPr>
                <w:rFonts w:ascii="黑体" w:hAnsi="仿宋_GB2312" w:eastAsia="黑体" w:cs="仿宋_GB2312"/>
                <w:sz w:val="18"/>
                <w:szCs w:val="18"/>
              </w:rPr>
            </w:pPr>
            <w:r>
              <w:rPr>
                <w:rFonts w:hint="eastAsia" w:ascii="黑体" w:hAnsi="仿宋_GB2312" w:eastAsia="黑体" w:cs="仿宋_GB2312"/>
                <w:sz w:val="18"/>
                <w:szCs w:val="18"/>
              </w:rPr>
              <w:t>1</w:t>
            </w:r>
          </w:p>
        </w:tc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jc w:val="center"/>
              <w:textAlignment w:val="auto"/>
              <w:rPr>
                <w:rFonts w:ascii="黑体" w:hAnsi="仿宋_GB2312" w:eastAsia="黑体" w:cs="仿宋_GB2312"/>
                <w:sz w:val="18"/>
                <w:szCs w:val="18"/>
              </w:rPr>
            </w:pPr>
            <w:r>
              <w:rPr>
                <w:rFonts w:hint="eastAsia" w:ascii="黑体" w:hAnsi="仿宋_GB2312" w:eastAsia="黑体" w:cs="仿宋_GB2312"/>
                <w:sz w:val="18"/>
                <w:szCs w:val="18"/>
              </w:rPr>
              <w:t>2</w:t>
            </w:r>
          </w:p>
        </w:tc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jc w:val="center"/>
              <w:textAlignment w:val="auto"/>
              <w:rPr>
                <w:rFonts w:ascii="黑体" w:hAnsi="仿宋_GB2312" w:eastAsia="黑体" w:cs="仿宋_GB2312"/>
                <w:sz w:val="18"/>
                <w:szCs w:val="18"/>
              </w:rPr>
            </w:pPr>
            <w:r>
              <w:rPr>
                <w:rFonts w:hint="eastAsia" w:ascii="黑体" w:hAnsi="仿宋_GB2312" w:eastAsia="黑体" w:cs="仿宋_GB2312"/>
                <w:sz w:val="18"/>
                <w:szCs w:val="18"/>
              </w:rPr>
              <w:t>3</w:t>
            </w:r>
          </w:p>
        </w:tc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jc w:val="center"/>
              <w:textAlignment w:val="auto"/>
              <w:rPr>
                <w:rFonts w:ascii="黑体" w:hAnsi="仿宋_GB2312" w:eastAsia="黑体" w:cs="仿宋_GB2312"/>
                <w:sz w:val="18"/>
                <w:szCs w:val="18"/>
              </w:rPr>
            </w:pPr>
            <w:r>
              <w:rPr>
                <w:rFonts w:hint="eastAsia" w:ascii="黑体" w:hAnsi="仿宋_GB2312" w:eastAsia="黑体" w:cs="仿宋_GB2312"/>
                <w:sz w:val="18"/>
                <w:szCs w:val="18"/>
              </w:rPr>
              <w:t>4</w:t>
            </w:r>
          </w:p>
        </w:tc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jc w:val="center"/>
              <w:textAlignment w:val="auto"/>
              <w:rPr>
                <w:rFonts w:ascii="黑体" w:hAnsi="仿宋_GB2312" w:eastAsia="黑体" w:cs="仿宋_GB2312"/>
                <w:sz w:val="18"/>
                <w:szCs w:val="18"/>
              </w:rPr>
            </w:pPr>
            <w:r>
              <w:rPr>
                <w:rFonts w:hint="eastAsia" w:ascii="黑体" w:hAnsi="仿宋_GB2312" w:eastAsia="黑体" w:cs="仿宋_GB2312"/>
                <w:sz w:val="18"/>
                <w:szCs w:val="18"/>
              </w:rPr>
              <w:t>5</w:t>
            </w:r>
          </w:p>
        </w:tc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jc w:val="center"/>
              <w:textAlignment w:val="auto"/>
              <w:rPr>
                <w:rFonts w:ascii="黑体" w:hAnsi="仿宋_GB2312" w:eastAsia="黑体" w:cs="仿宋_GB2312"/>
                <w:sz w:val="18"/>
                <w:szCs w:val="18"/>
              </w:rPr>
            </w:pPr>
            <w:r>
              <w:rPr>
                <w:rFonts w:hint="eastAsia" w:ascii="黑体" w:hAnsi="仿宋_GB2312" w:eastAsia="黑体" w:cs="仿宋_GB2312"/>
                <w:sz w:val="18"/>
                <w:szCs w:val="18"/>
              </w:rPr>
              <w:t>6</w:t>
            </w:r>
          </w:p>
        </w:tc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jc w:val="center"/>
              <w:textAlignment w:val="auto"/>
              <w:rPr>
                <w:rFonts w:ascii="黑体" w:hAnsi="仿宋_GB2312" w:eastAsia="黑体" w:cs="仿宋_GB2312"/>
                <w:sz w:val="18"/>
                <w:szCs w:val="18"/>
              </w:rPr>
            </w:pPr>
            <w:r>
              <w:rPr>
                <w:rFonts w:hint="eastAsia" w:ascii="黑体" w:hAnsi="仿宋_GB2312" w:eastAsia="黑体" w:cs="仿宋_GB2312"/>
                <w:sz w:val="18"/>
                <w:szCs w:val="18"/>
              </w:rPr>
              <w:t>7</w:t>
            </w:r>
          </w:p>
        </w:tc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jc w:val="center"/>
              <w:textAlignment w:val="auto"/>
              <w:rPr>
                <w:rFonts w:ascii="黑体" w:hAnsi="仿宋_GB2312" w:eastAsia="黑体" w:cs="仿宋_GB2312"/>
                <w:sz w:val="18"/>
                <w:szCs w:val="18"/>
              </w:rPr>
            </w:pPr>
            <w:r>
              <w:rPr>
                <w:rFonts w:hint="eastAsia" w:ascii="黑体" w:hAnsi="仿宋_GB2312" w:eastAsia="黑体" w:cs="仿宋_GB2312"/>
                <w:sz w:val="18"/>
                <w:szCs w:val="18"/>
              </w:rPr>
              <w:t>8</w:t>
            </w:r>
          </w:p>
        </w:tc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jc w:val="center"/>
              <w:textAlignment w:val="auto"/>
              <w:rPr>
                <w:rFonts w:ascii="黑体" w:hAnsi="仿宋_GB2312" w:eastAsia="黑体" w:cs="仿宋_GB2312"/>
                <w:sz w:val="18"/>
                <w:szCs w:val="18"/>
              </w:rPr>
            </w:pPr>
            <w:r>
              <w:rPr>
                <w:rFonts w:hint="eastAsia" w:ascii="黑体" w:hAnsi="仿宋_GB2312" w:eastAsia="黑体" w:cs="仿宋_GB2312"/>
                <w:sz w:val="18"/>
                <w:szCs w:val="18"/>
              </w:rPr>
              <w:t>9</w:t>
            </w:r>
          </w:p>
        </w:tc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jc w:val="center"/>
              <w:textAlignment w:val="auto"/>
              <w:rPr>
                <w:rFonts w:ascii="黑体" w:hAnsi="仿宋_GB2312" w:eastAsia="黑体" w:cs="仿宋_GB2312"/>
                <w:sz w:val="18"/>
                <w:szCs w:val="18"/>
              </w:rPr>
            </w:pPr>
            <w:r>
              <w:rPr>
                <w:rFonts w:hint="eastAsia" w:ascii="黑体" w:hAnsi="仿宋_GB2312" w:eastAsia="黑体" w:cs="仿宋_GB2312"/>
                <w:sz w:val="18"/>
                <w:szCs w:val="18"/>
              </w:rPr>
              <w:t>10</w:t>
            </w:r>
          </w:p>
        </w:tc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jc w:val="center"/>
              <w:textAlignment w:val="auto"/>
              <w:rPr>
                <w:rFonts w:ascii="黑体" w:hAnsi="仿宋_GB2312" w:eastAsia="黑体" w:cs="仿宋_GB2312"/>
                <w:sz w:val="18"/>
                <w:szCs w:val="18"/>
              </w:rPr>
            </w:pPr>
            <w:r>
              <w:rPr>
                <w:rFonts w:hint="eastAsia" w:ascii="黑体" w:hAnsi="仿宋_GB2312" w:eastAsia="黑体" w:cs="仿宋_GB2312"/>
                <w:sz w:val="18"/>
                <w:szCs w:val="18"/>
              </w:rPr>
              <w:t>11</w:t>
            </w:r>
          </w:p>
        </w:tc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jc w:val="center"/>
              <w:textAlignment w:val="auto"/>
              <w:rPr>
                <w:rFonts w:ascii="黑体" w:hAnsi="仿宋_GB2312" w:eastAsia="黑体" w:cs="仿宋_GB2312"/>
                <w:sz w:val="18"/>
                <w:szCs w:val="18"/>
              </w:rPr>
            </w:pPr>
            <w:r>
              <w:rPr>
                <w:rFonts w:hint="eastAsia" w:ascii="黑体" w:hAnsi="仿宋_GB2312" w:eastAsia="黑体" w:cs="仿宋_GB2312"/>
                <w:sz w:val="18"/>
                <w:szCs w:val="18"/>
              </w:rPr>
              <w:t>12</w:t>
            </w:r>
          </w:p>
        </w:tc>
        <w:tc>
          <w:tcPr>
            <w:tcW w:w="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-48" w:leftChars="-23"/>
              <w:jc w:val="center"/>
              <w:textAlignment w:val="auto"/>
              <w:rPr>
                <w:rFonts w:ascii="黑体" w:hAnsi="仿宋_GB2312" w:eastAsia="黑体" w:cs="仿宋_GB2312"/>
                <w:sz w:val="18"/>
                <w:szCs w:val="18"/>
              </w:rPr>
            </w:pPr>
            <w:r>
              <w:rPr>
                <w:rFonts w:hint="eastAsia" w:ascii="黑体" w:hAnsi="仿宋_GB2312" w:eastAsia="黑体" w:cs="仿宋_GB2312"/>
                <w:sz w:val="18"/>
                <w:szCs w:val="18"/>
              </w:rPr>
              <w:t>13</w:t>
            </w:r>
          </w:p>
        </w:tc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jc w:val="center"/>
              <w:textAlignment w:val="auto"/>
              <w:rPr>
                <w:rFonts w:ascii="黑体" w:hAnsi="仿宋_GB2312" w:eastAsia="黑体" w:cs="仿宋_GB2312"/>
                <w:sz w:val="18"/>
                <w:szCs w:val="18"/>
              </w:rPr>
            </w:pPr>
            <w:r>
              <w:rPr>
                <w:rFonts w:hint="eastAsia" w:ascii="黑体" w:hAnsi="仿宋_GB2312" w:eastAsia="黑体" w:cs="仿宋_GB2312"/>
                <w:sz w:val="18"/>
                <w:szCs w:val="18"/>
              </w:rPr>
              <w:t>14</w:t>
            </w:r>
          </w:p>
        </w:tc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26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jc w:val="center"/>
              <w:textAlignment w:val="auto"/>
              <w:rPr>
                <w:rFonts w:ascii="黑体" w:hAnsi="仿宋_GB2312" w:eastAsia="黑体" w:cs="仿宋_GB2312"/>
                <w:sz w:val="18"/>
                <w:szCs w:val="18"/>
              </w:rPr>
            </w:pPr>
            <w:r>
              <w:rPr>
                <w:rFonts w:hint="eastAsia" w:ascii="黑体" w:hAnsi="仿宋_GB2312" w:eastAsia="黑体" w:cs="仿宋_GB2312"/>
                <w:sz w:val="18"/>
                <w:szCs w:val="18"/>
              </w:rPr>
              <w:t>15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jc w:val="center"/>
              <w:textAlignment w:val="auto"/>
              <w:rPr>
                <w:rFonts w:ascii="黑体" w:hAnsi="仿宋_GB2312" w:eastAsia="黑体" w:cs="仿宋_GB2312"/>
                <w:sz w:val="18"/>
                <w:szCs w:val="18"/>
              </w:rPr>
            </w:pPr>
            <w:r>
              <w:rPr>
                <w:rFonts w:hint="eastAsia" w:ascii="黑体" w:hAnsi="仿宋_GB2312" w:eastAsia="黑体" w:cs="仿宋_GB2312"/>
                <w:sz w:val="18"/>
                <w:szCs w:val="18"/>
              </w:rPr>
              <w:t>16</w:t>
            </w:r>
          </w:p>
        </w:tc>
        <w:tc>
          <w:tcPr>
            <w:tcW w:w="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jc w:val="center"/>
              <w:textAlignment w:val="auto"/>
              <w:rPr>
                <w:rFonts w:ascii="黑体" w:hAnsi="仿宋_GB2312" w:eastAsia="黑体" w:cs="仿宋_GB2312"/>
                <w:sz w:val="18"/>
                <w:szCs w:val="18"/>
              </w:rPr>
            </w:pPr>
            <w:r>
              <w:rPr>
                <w:rFonts w:hint="eastAsia" w:ascii="黑体" w:hAnsi="仿宋_GB2312" w:eastAsia="黑体" w:cs="仿宋_GB2312"/>
                <w:sz w:val="18"/>
                <w:szCs w:val="18"/>
              </w:rPr>
              <w:t>17</w:t>
            </w:r>
          </w:p>
        </w:tc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jc w:val="center"/>
              <w:textAlignment w:val="auto"/>
              <w:rPr>
                <w:rFonts w:ascii="黑体" w:hAnsi="仿宋_GB2312" w:eastAsia="黑体" w:cs="仿宋_GB2312"/>
                <w:sz w:val="18"/>
                <w:szCs w:val="18"/>
              </w:rPr>
            </w:pPr>
            <w:r>
              <w:rPr>
                <w:rFonts w:hint="eastAsia" w:ascii="黑体" w:hAnsi="仿宋_GB2312" w:eastAsia="黑体" w:cs="仿宋_GB2312"/>
                <w:sz w:val="18"/>
                <w:szCs w:val="18"/>
              </w:rPr>
              <w:t>18</w:t>
            </w:r>
          </w:p>
        </w:tc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jc w:val="center"/>
              <w:textAlignment w:val="auto"/>
              <w:rPr>
                <w:rFonts w:ascii="黑体" w:hAnsi="仿宋_GB2312" w:eastAsia="黑体" w:cs="仿宋_GB2312"/>
                <w:sz w:val="18"/>
                <w:szCs w:val="18"/>
              </w:rPr>
            </w:pPr>
            <w:r>
              <w:rPr>
                <w:rFonts w:hint="eastAsia" w:ascii="黑体" w:hAnsi="仿宋_GB2312" w:eastAsia="黑体" w:cs="仿宋_GB2312"/>
                <w:sz w:val="18"/>
                <w:szCs w:val="18"/>
              </w:rPr>
              <w:t>19</w:t>
            </w:r>
          </w:p>
        </w:tc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jc w:val="center"/>
              <w:textAlignment w:val="auto"/>
              <w:rPr>
                <w:rFonts w:ascii="黑体" w:hAnsi="仿宋_GB2312" w:eastAsia="黑体" w:cs="仿宋_GB2312"/>
                <w:sz w:val="18"/>
                <w:szCs w:val="18"/>
              </w:rPr>
            </w:pPr>
            <w:r>
              <w:rPr>
                <w:rFonts w:hint="eastAsia" w:ascii="黑体" w:hAnsi="仿宋_GB2312" w:eastAsia="黑体" w:cs="仿宋_GB2312"/>
                <w:sz w:val="18"/>
                <w:szCs w:val="18"/>
              </w:rPr>
              <w:t>20</w:t>
            </w:r>
          </w:p>
        </w:tc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jc w:val="center"/>
              <w:textAlignment w:val="auto"/>
              <w:rPr>
                <w:rFonts w:ascii="黑体" w:hAnsi="仿宋_GB2312" w:eastAsia="黑体" w:cs="仿宋_GB2312"/>
                <w:sz w:val="18"/>
                <w:szCs w:val="18"/>
              </w:rPr>
            </w:pPr>
            <w:r>
              <w:rPr>
                <w:rFonts w:hint="eastAsia" w:ascii="黑体" w:hAnsi="仿宋_GB2312" w:eastAsia="黑体" w:cs="仿宋_GB2312"/>
                <w:sz w:val="18"/>
                <w:szCs w:val="18"/>
              </w:rPr>
              <w:t>21</w:t>
            </w:r>
          </w:p>
        </w:tc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jc w:val="center"/>
              <w:textAlignment w:val="auto"/>
              <w:rPr>
                <w:rFonts w:ascii="黑体" w:hAnsi="仿宋_GB2312" w:eastAsia="黑体" w:cs="仿宋_GB2312"/>
                <w:sz w:val="18"/>
                <w:szCs w:val="18"/>
              </w:rPr>
            </w:pPr>
            <w:r>
              <w:rPr>
                <w:rFonts w:hint="eastAsia" w:ascii="黑体" w:hAnsi="仿宋_GB2312" w:eastAsia="黑体" w:cs="仿宋_GB2312"/>
                <w:sz w:val="18"/>
                <w:szCs w:val="18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  <w:jc w:val="center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说明</w:t>
            </w:r>
          </w:p>
        </w:tc>
        <w:tc>
          <w:tcPr>
            <w:tcW w:w="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15"/>
              </w:rPr>
              <w:t>评价机构类别代码</w:t>
            </w:r>
          </w:p>
        </w:tc>
        <w:tc>
          <w:tcPr>
            <w:tcW w:w="13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15"/>
              </w:rPr>
              <w:t>评价机构代码</w:t>
            </w:r>
          </w:p>
        </w:tc>
        <w:tc>
          <w:tcPr>
            <w:tcW w:w="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5"/>
              </w:rPr>
              <w:t>评价机构（站点）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5"/>
              </w:rPr>
              <w:t>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5"/>
              </w:rPr>
              <w:t>省级代码</w:t>
            </w:r>
          </w:p>
        </w:tc>
        <w:tc>
          <w:tcPr>
            <w:tcW w:w="237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15"/>
              </w:rPr>
              <w:t>评价机构（站点）序列码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15"/>
              </w:rPr>
              <w:t>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15"/>
              </w:rPr>
              <w:t>核发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15"/>
              </w:rPr>
              <w:t>年份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15"/>
              </w:rPr>
              <w:t>代码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15"/>
              </w:rPr>
              <w:t>职业技能等级代码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15"/>
              </w:rPr>
            </w:pPr>
            <w:r>
              <w:rPr>
                <w:rFonts w:hint="default" w:ascii="仿宋_GB2312" w:hAnsi="仿宋_GB2312" w:cs="仿宋_GB2312"/>
                <w:sz w:val="20"/>
                <w:szCs w:val="15"/>
              </w:rPr>
              <w:t>“T”</w:t>
            </w:r>
          </w:p>
        </w:tc>
        <w:tc>
          <w:tcPr>
            <w:tcW w:w="27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15"/>
              </w:rPr>
              <w:t>证书序列码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-92" w:leftChars="-44" w:right="-128" w:rightChars="-61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来源</w:t>
            </w:r>
          </w:p>
        </w:tc>
        <w:tc>
          <w:tcPr>
            <w:tcW w:w="486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15"/>
              </w:rPr>
              <w:t>人力资源社会保障部门确定</w:t>
            </w:r>
          </w:p>
        </w:tc>
        <w:tc>
          <w:tcPr>
            <w:tcW w:w="427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15"/>
              </w:rPr>
              <w:t>评价机构确定</w:t>
            </w:r>
          </w:p>
        </w:tc>
      </w:tr>
    </w:tbl>
    <w:p>
      <w:r>
        <w:rPr>
          <w:rFonts w:hint="eastAsia" w:ascii="仿宋_GB2312" w:hAnsi="等线" w:eastAsia="仿宋_GB2312" w:cs="Times New Roman"/>
          <w:kern w:val="2"/>
          <w:sz w:val="24"/>
          <w:szCs w:val="24"/>
          <w:lang w:val="en-US" w:eastAsia="zh-CN" w:bidi="ar-SA"/>
        </w:rPr>
        <w:t>注：站点指在人力资源社会保障部备案的中央企业子公司、分公司和社会培训评价组织的考核站点。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1627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before="0" w:after="140" w:line="276" w:lineRule="auto"/>
    </w:pPr>
  </w:style>
  <w:style w:type="paragraph" w:styleId="3">
    <w:name w:val="footer"/>
    <w:basedOn w:val="1"/>
    <w:next w:val="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index 5"/>
    <w:basedOn w:val="1"/>
    <w:next w:val="1"/>
    <w:uiPriority w:val="0"/>
    <w:pPr>
      <w:ind w:left="1680"/>
    </w:pPr>
  </w:style>
  <w:style w:type="paragraph" w:styleId="5">
    <w:name w:val="Body Text First Indent"/>
    <w:basedOn w:val="2"/>
    <w:uiPriority w:val="0"/>
    <w:pPr>
      <w:ind w:firstLine="420" w:firstLineChars="100"/>
    </w:pPr>
  </w:style>
  <w:style w:type="paragraph" w:customStyle="1" w:styleId="8">
    <w:name w:val="Heading #1|1"/>
    <w:basedOn w:val="1"/>
    <w:qFormat/>
    <w:uiPriority w:val="0"/>
    <w:pPr>
      <w:widowControl w:val="0"/>
      <w:shd w:val="clear" w:color="auto" w:fill="auto"/>
      <w:spacing w:after="40"/>
      <w:jc w:val="right"/>
      <w:outlineLvl w:val="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2022-10-10T12:56:54Z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